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BC500" w14:textId="701EFE28" w:rsidR="0028546A" w:rsidRDefault="0028546A" w:rsidP="00575F88">
      <w:pPr>
        <w:ind w:right="-108"/>
        <w:jc w:val="right"/>
        <w:rPr>
          <w:rFonts w:ascii="Arial" w:hAnsi="Arial" w:cs="Arial"/>
          <w:b/>
        </w:rPr>
      </w:pPr>
      <w:r>
        <w:rPr>
          <w:rFonts w:ascii="Arial" w:hAnsi="Arial" w:cs="Arial"/>
          <w:noProof/>
        </w:rPr>
        <w:drawing>
          <wp:anchor distT="0" distB="0" distL="114300" distR="114300" simplePos="0" relativeHeight="251658240" behindDoc="1" locked="0" layoutInCell="1" allowOverlap="1" wp14:anchorId="49E1F3C5" wp14:editId="08044451">
            <wp:simplePos x="0" y="0"/>
            <wp:positionH relativeFrom="column">
              <wp:posOffset>971550</wp:posOffset>
            </wp:positionH>
            <wp:positionV relativeFrom="paragraph">
              <wp:posOffset>1905</wp:posOffset>
            </wp:positionV>
            <wp:extent cx="571500" cy="581025"/>
            <wp:effectExtent l="0" t="0" r="0" b="9525"/>
            <wp:wrapTight wrapText="bothSides">
              <wp:wrapPolygon edited="0">
                <wp:start x="0" y="0"/>
                <wp:lineTo x="0" y="21246"/>
                <wp:lineTo x="20880" y="21246"/>
                <wp:lineTo x="20880" y="0"/>
                <wp:lineTo x="0" y="0"/>
              </wp:wrapPolygon>
            </wp:wrapTight>
            <wp:docPr id="1" name="Picture 1" descr="εθνοσημο εγχρωμο μεγαλ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οσημο εγχρωμο μεγαλο"/>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810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Arial" w:hAnsi="Arial" w:cs="Arial"/>
          <w:b/>
          <w:sz w:val="22"/>
          <w:szCs w:val="22"/>
        </w:rPr>
        <w:t>ΑΔΙΑΒΑΘΜΗΤΟ</w:t>
      </w:r>
      <w:r w:rsidR="00575F88" w:rsidRPr="00BB68E8">
        <w:rPr>
          <w:rFonts w:ascii="Arial" w:hAnsi="Arial" w:cs="Arial"/>
          <w:b/>
          <w:sz w:val="22"/>
          <w:szCs w:val="22"/>
        </w:rPr>
        <w:t xml:space="preserve"> - </w:t>
      </w:r>
      <w:bookmarkStart w:id="0" w:name="ΠΡΟΤΕΡΑΙΟΤΗΤΑ"/>
      <w:r>
        <w:rPr>
          <w:rFonts w:ascii="Arial" w:hAnsi="Arial" w:cs="Arial"/>
          <w:b/>
          <w:sz w:val="22"/>
          <w:szCs w:val="22"/>
        </w:rPr>
        <w:t>ΚΑΝΟΝΙΚΟ</w:t>
      </w:r>
      <w:bookmarkEnd w:id="0"/>
    </w:p>
    <w:p w14:paraId="4AA4CDE6" w14:textId="77777777" w:rsidR="0028546A" w:rsidRDefault="0028546A" w:rsidP="0028546A">
      <w:pPr>
        <w:ind w:right="-108"/>
        <w:jc w:val="right"/>
        <w:rPr>
          <w:rFonts w:ascii="Arial" w:hAnsi="Arial" w:cs="Arial"/>
          <w:b/>
        </w:rPr>
      </w:pPr>
    </w:p>
    <w:p w14:paraId="28E46347" w14:textId="6A1FF04E" w:rsidR="0028546A" w:rsidRDefault="0028546A" w:rsidP="0028546A">
      <w:pPr>
        <w:tabs>
          <w:tab w:val="center" w:pos="5760"/>
        </w:tabs>
        <w:jc w:val="right"/>
        <w:rPr>
          <w:rFonts w:ascii="Arial" w:hAnsi="Arial" w:cs="Arial"/>
          <w:sz w:val="20"/>
          <w:szCs w:val="20"/>
        </w:rPr>
      </w:pPr>
    </w:p>
    <w:p w14:paraId="2F8A6771" w14:textId="77777777" w:rsidR="00575F88" w:rsidRDefault="0028546A" w:rsidP="0028546A">
      <w:pPr>
        <w:tabs>
          <w:tab w:val="center" w:pos="1890"/>
        </w:tabs>
        <w:ind w:left="-18"/>
        <w:rPr>
          <w:rFonts w:ascii="Arial" w:hAnsi="Arial" w:cs="Arial"/>
          <w:b/>
          <w:color w:val="003DCC"/>
          <w:sz w:val="20"/>
          <w:szCs w:val="20"/>
        </w:rPr>
      </w:pPr>
      <w:r>
        <w:rPr>
          <w:rFonts w:ascii="Arial" w:hAnsi="Arial" w:cs="Arial"/>
          <w:b/>
          <w:color w:val="003DCC"/>
          <w:sz w:val="20"/>
          <w:szCs w:val="20"/>
        </w:rPr>
        <w:tab/>
      </w:r>
    </w:p>
    <w:p w14:paraId="649BD5DB" w14:textId="5DE94BB8" w:rsidR="0028546A" w:rsidRPr="00A045A2" w:rsidRDefault="00575F88" w:rsidP="0028546A">
      <w:pPr>
        <w:tabs>
          <w:tab w:val="center" w:pos="1890"/>
        </w:tabs>
        <w:ind w:left="-18"/>
        <w:rPr>
          <w:rFonts w:ascii="Arial" w:hAnsi="Arial" w:cs="Arial"/>
          <w:b/>
          <w:color w:val="003DCC"/>
          <w:sz w:val="20"/>
          <w:szCs w:val="20"/>
        </w:rPr>
      </w:pPr>
      <w:r w:rsidRPr="00BB68E8">
        <w:rPr>
          <w:rFonts w:ascii="Arial" w:hAnsi="Arial" w:cs="Arial"/>
          <w:b/>
          <w:color w:val="003DCC"/>
          <w:sz w:val="20"/>
          <w:szCs w:val="20"/>
        </w:rPr>
        <w:t xml:space="preserve">            </w:t>
      </w:r>
      <w:r w:rsidR="0028546A" w:rsidRPr="00A045A2">
        <w:rPr>
          <w:rFonts w:ascii="Arial" w:hAnsi="Arial" w:cs="Arial"/>
          <w:b/>
          <w:color w:val="003DCC"/>
          <w:sz w:val="20"/>
          <w:szCs w:val="20"/>
        </w:rPr>
        <w:t>ΕΛΛΗΝΙΚΗ ΔΗΜΟΚΡΑΤΙΑ</w:t>
      </w:r>
    </w:p>
    <w:p w14:paraId="496829FE" w14:textId="34FC0D4C" w:rsidR="0028546A" w:rsidRPr="00A045A2" w:rsidRDefault="0028546A" w:rsidP="0028546A">
      <w:pPr>
        <w:tabs>
          <w:tab w:val="center" w:pos="1890"/>
        </w:tabs>
        <w:ind w:left="-18"/>
        <w:rPr>
          <w:rFonts w:ascii="Arial" w:hAnsi="Arial" w:cs="Arial"/>
          <w:color w:val="003DCC"/>
          <w:sz w:val="20"/>
          <w:szCs w:val="20"/>
        </w:rPr>
      </w:pPr>
      <w:bookmarkStart w:id="1" w:name="ΤΙΤΛΟΣ_1"/>
      <w:r>
        <w:rPr>
          <w:rFonts w:ascii="Arial" w:hAnsi="Arial" w:cs="Arial"/>
          <w:color w:val="003DCC"/>
          <w:sz w:val="20"/>
          <w:szCs w:val="20"/>
        </w:rPr>
        <w:tab/>
      </w:r>
      <w:r w:rsidRPr="00A045A2">
        <w:rPr>
          <w:rFonts w:ascii="Arial" w:hAnsi="Arial" w:cs="Arial"/>
          <w:color w:val="003DCC"/>
          <w:sz w:val="20"/>
          <w:szCs w:val="20"/>
        </w:rPr>
        <w:t>Πρεσβεία της Ελλάδος</w:t>
      </w:r>
      <w:bookmarkEnd w:id="1"/>
    </w:p>
    <w:p w14:paraId="0CAE6840" w14:textId="4496F014" w:rsidR="0028546A" w:rsidRDefault="0028546A" w:rsidP="0028546A">
      <w:pPr>
        <w:tabs>
          <w:tab w:val="center" w:pos="1890"/>
          <w:tab w:val="center" w:pos="5760"/>
        </w:tabs>
        <w:rPr>
          <w:rFonts w:ascii="Arial" w:hAnsi="Arial" w:cs="Arial"/>
          <w:color w:val="003DCC"/>
          <w:sz w:val="20"/>
          <w:szCs w:val="20"/>
        </w:rPr>
      </w:pPr>
      <w:r>
        <w:rPr>
          <w:rFonts w:ascii="Arial" w:hAnsi="Arial" w:cs="Arial"/>
          <w:color w:val="003DCC"/>
          <w:sz w:val="20"/>
          <w:szCs w:val="20"/>
        </w:rPr>
        <w:tab/>
      </w:r>
      <w:r w:rsidRPr="00A045A2">
        <w:rPr>
          <w:rFonts w:ascii="Arial" w:hAnsi="Arial" w:cs="Arial"/>
          <w:color w:val="003DCC"/>
          <w:sz w:val="20"/>
          <w:szCs w:val="20"/>
        </w:rPr>
        <w:t>Ουάσιγκτων</w:t>
      </w:r>
    </w:p>
    <w:p w14:paraId="1A3B6729" w14:textId="10D94227" w:rsidR="0028546A" w:rsidRPr="002255FC" w:rsidRDefault="0028546A" w:rsidP="002255FC">
      <w:pPr>
        <w:tabs>
          <w:tab w:val="center" w:pos="1890"/>
        </w:tabs>
        <w:ind w:left="-18"/>
        <w:rPr>
          <w:rFonts w:ascii="Arial" w:hAnsi="Arial" w:cs="Arial"/>
          <w:color w:val="003DCC"/>
          <w:sz w:val="18"/>
          <w:szCs w:val="18"/>
        </w:rPr>
      </w:pPr>
      <w:bookmarkStart w:id="2" w:name="ΤΙΤΛΟΣ_2"/>
      <w:r w:rsidRPr="0028546A">
        <w:rPr>
          <w:rFonts w:ascii="Arial" w:hAnsi="Arial" w:cs="Arial"/>
          <w:color w:val="003DCC"/>
          <w:sz w:val="18"/>
          <w:szCs w:val="18"/>
        </w:rPr>
        <w:tab/>
        <w:t>Γραφείο Οικονομικών &amp; Εμπορικών Υποθέσεων</w:t>
      </w:r>
      <w:bookmarkEnd w:id="2"/>
      <w:r w:rsidRPr="002371AB">
        <w:rPr>
          <w:rFonts w:ascii="Arial" w:hAnsi="Arial" w:cs="Arial"/>
          <w:sz w:val="16"/>
          <w:szCs w:val="16"/>
        </w:rPr>
        <w:tab/>
      </w:r>
    </w:p>
    <w:p w14:paraId="102918BD" w14:textId="77777777" w:rsidR="002255FC" w:rsidRDefault="002255FC" w:rsidP="0028546A">
      <w:pPr>
        <w:tabs>
          <w:tab w:val="center" w:pos="5760"/>
        </w:tabs>
        <w:jc w:val="right"/>
        <w:rPr>
          <w:rFonts w:ascii="Arial" w:hAnsi="Arial" w:cs="Arial"/>
          <w:sz w:val="20"/>
          <w:szCs w:val="20"/>
        </w:rPr>
      </w:pPr>
    </w:p>
    <w:p w14:paraId="09D93D37" w14:textId="7C88004B" w:rsidR="0028546A" w:rsidRPr="0028546A" w:rsidRDefault="0028546A" w:rsidP="0028546A">
      <w:pPr>
        <w:tabs>
          <w:tab w:val="center" w:pos="5760"/>
        </w:tabs>
        <w:jc w:val="right"/>
        <w:rPr>
          <w:rFonts w:ascii="Arial" w:hAnsi="Arial" w:cs="Arial"/>
          <w:sz w:val="20"/>
          <w:szCs w:val="20"/>
        </w:rPr>
      </w:pPr>
      <w:r w:rsidRPr="0028546A">
        <w:rPr>
          <w:rFonts w:ascii="Arial" w:hAnsi="Arial" w:cs="Arial"/>
          <w:sz w:val="20"/>
          <w:szCs w:val="20"/>
        </w:rPr>
        <w:t xml:space="preserve">Ουάσιγκτων, </w:t>
      </w:r>
      <w:r w:rsidR="00FC0F0E">
        <w:rPr>
          <w:rFonts w:ascii="Arial" w:hAnsi="Arial" w:cs="Arial"/>
          <w:sz w:val="20"/>
          <w:szCs w:val="20"/>
        </w:rPr>
        <w:t>6</w:t>
      </w:r>
      <w:r w:rsidR="008B197A" w:rsidRPr="0074176D">
        <w:rPr>
          <w:rFonts w:ascii="Arial" w:hAnsi="Arial" w:cs="Arial"/>
          <w:sz w:val="20"/>
          <w:szCs w:val="20"/>
        </w:rPr>
        <w:t xml:space="preserve"> </w:t>
      </w:r>
      <w:r w:rsidR="00FC0F0E">
        <w:rPr>
          <w:rFonts w:ascii="Arial" w:hAnsi="Arial" w:cs="Arial"/>
          <w:sz w:val="20"/>
          <w:szCs w:val="20"/>
        </w:rPr>
        <w:t>Απριλίου</w:t>
      </w:r>
      <w:r w:rsidRPr="0028546A">
        <w:rPr>
          <w:rFonts w:ascii="Arial" w:hAnsi="Arial" w:cs="Arial"/>
          <w:sz w:val="20"/>
          <w:szCs w:val="20"/>
        </w:rPr>
        <w:t xml:space="preserve"> 202</w:t>
      </w:r>
      <w:r w:rsidR="0085709D">
        <w:rPr>
          <w:rFonts w:ascii="Arial" w:hAnsi="Arial" w:cs="Arial"/>
          <w:sz w:val="20"/>
          <w:szCs w:val="20"/>
        </w:rPr>
        <w:t>6</w:t>
      </w:r>
    </w:p>
    <w:p w14:paraId="0372FC23" w14:textId="6A166769" w:rsidR="0028546A" w:rsidRPr="00BB68E8" w:rsidRDefault="0028546A" w:rsidP="0028546A">
      <w:pPr>
        <w:tabs>
          <w:tab w:val="center" w:pos="5760"/>
        </w:tabs>
        <w:jc w:val="right"/>
        <w:rPr>
          <w:rFonts w:ascii="Arial" w:hAnsi="Arial" w:cs="Arial"/>
          <w:sz w:val="20"/>
          <w:szCs w:val="20"/>
        </w:rPr>
      </w:pPr>
      <w:r w:rsidRPr="00695A15">
        <w:rPr>
          <w:rFonts w:ascii="Arial" w:hAnsi="Arial" w:cs="Arial"/>
          <w:sz w:val="20"/>
          <w:szCs w:val="20"/>
        </w:rPr>
        <w:t>Α.Π.</w:t>
      </w:r>
      <w:r w:rsidR="00AF5ABB" w:rsidRPr="00695A15">
        <w:rPr>
          <w:rFonts w:ascii="Arial" w:hAnsi="Arial" w:cs="Arial"/>
          <w:sz w:val="20"/>
          <w:szCs w:val="20"/>
        </w:rPr>
        <w:t xml:space="preserve"> </w:t>
      </w:r>
      <w:r w:rsidR="00695A15" w:rsidRPr="00695A15">
        <w:rPr>
          <w:rFonts w:ascii="Arial" w:hAnsi="Arial" w:cs="Arial"/>
          <w:sz w:val="20"/>
          <w:szCs w:val="20"/>
        </w:rPr>
        <w:t>773</w:t>
      </w:r>
    </w:p>
    <w:p w14:paraId="7D8025E7" w14:textId="77777777" w:rsidR="002255FC" w:rsidRDefault="002255FC" w:rsidP="0085709D">
      <w:pPr>
        <w:tabs>
          <w:tab w:val="center" w:pos="5760"/>
        </w:tabs>
        <w:jc w:val="both"/>
        <w:rPr>
          <w:rFonts w:ascii="Arial" w:hAnsi="Arial" w:cs="Arial"/>
          <w:b/>
          <w:sz w:val="20"/>
          <w:szCs w:val="20"/>
        </w:rPr>
      </w:pPr>
    </w:p>
    <w:p w14:paraId="0E47DC87" w14:textId="13A6B526" w:rsidR="00633339" w:rsidRDefault="0028546A" w:rsidP="0085709D">
      <w:pPr>
        <w:tabs>
          <w:tab w:val="center" w:pos="5760"/>
        </w:tabs>
        <w:jc w:val="both"/>
        <w:rPr>
          <w:rFonts w:ascii="Arial" w:hAnsi="Arial" w:cs="Arial"/>
          <w:sz w:val="20"/>
          <w:szCs w:val="20"/>
        </w:rPr>
      </w:pPr>
      <w:r w:rsidRPr="0028546A">
        <w:rPr>
          <w:rFonts w:ascii="Arial" w:hAnsi="Arial" w:cs="Arial"/>
          <w:b/>
          <w:sz w:val="20"/>
          <w:szCs w:val="20"/>
        </w:rPr>
        <w:t>Προ</w:t>
      </w:r>
      <w:r w:rsidRPr="0028546A">
        <w:rPr>
          <w:rFonts w:ascii="Arial" w:hAnsi="Arial" w:cs="Arial"/>
          <w:sz w:val="20"/>
          <w:szCs w:val="20"/>
        </w:rPr>
        <w:t xml:space="preserve">ς: </w:t>
      </w:r>
      <w:r w:rsidR="00BB68E8" w:rsidRPr="00BB68E8">
        <w:rPr>
          <w:rFonts w:ascii="Arial" w:hAnsi="Arial" w:cs="Arial"/>
          <w:sz w:val="20"/>
          <w:szCs w:val="20"/>
        </w:rPr>
        <w:t xml:space="preserve">  </w:t>
      </w:r>
      <w:r w:rsidR="00633339" w:rsidRPr="00E87D16">
        <w:rPr>
          <w:rFonts w:ascii="Arial" w:hAnsi="Arial" w:cs="Arial"/>
          <w:b/>
          <w:sz w:val="20"/>
          <w:szCs w:val="20"/>
        </w:rPr>
        <w:t>Υπουργείο Εξωτερικών</w:t>
      </w:r>
    </w:p>
    <w:p w14:paraId="4D99CEB6" w14:textId="24E3C282" w:rsidR="00633339" w:rsidRPr="002B069F" w:rsidRDefault="0085709D" w:rsidP="00E84048">
      <w:pPr>
        <w:tabs>
          <w:tab w:val="center" w:pos="5760"/>
        </w:tabs>
        <w:spacing w:after="120"/>
        <w:ind w:left="720"/>
        <w:jc w:val="both"/>
        <w:rPr>
          <w:rFonts w:ascii="Arial" w:hAnsi="Arial" w:cs="Arial"/>
          <w:sz w:val="20"/>
          <w:szCs w:val="20"/>
        </w:rPr>
      </w:pPr>
      <w:r>
        <w:rPr>
          <w:rFonts w:ascii="Arial" w:hAnsi="Arial" w:cs="Arial"/>
          <w:sz w:val="20"/>
          <w:szCs w:val="20"/>
        </w:rPr>
        <w:t>Β</w:t>
      </w:r>
      <w:r w:rsidR="00147AB9">
        <w:rPr>
          <w:rFonts w:ascii="Arial" w:hAnsi="Arial" w:cs="Arial"/>
          <w:sz w:val="20"/>
          <w:szCs w:val="20"/>
        </w:rPr>
        <w:t>6</w:t>
      </w:r>
      <w:r w:rsidR="00E84048">
        <w:rPr>
          <w:rFonts w:ascii="Arial" w:hAnsi="Arial" w:cs="Arial"/>
          <w:sz w:val="20"/>
          <w:szCs w:val="20"/>
        </w:rPr>
        <w:t xml:space="preserve"> Διεύθυνση</w:t>
      </w:r>
    </w:p>
    <w:p w14:paraId="6274361B" w14:textId="7FD4E15B" w:rsidR="0028546A" w:rsidRDefault="0028546A" w:rsidP="00633339">
      <w:pPr>
        <w:tabs>
          <w:tab w:val="center" w:pos="2230"/>
        </w:tabs>
        <w:outlineLvl w:val="0"/>
        <w:rPr>
          <w:rFonts w:ascii="Arial" w:hAnsi="Arial" w:cs="Arial"/>
          <w:sz w:val="20"/>
          <w:szCs w:val="20"/>
        </w:rPr>
      </w:pPr>
      <w:proofErr w:type="spellStart"/>
      <w:r w:rsidRPr="0028546A">
        <w:rPr>
          <w:rFonts w:ascii="Arial" w:hAnsi="Arial" w:cs="Arial"/>
          <w:b/>
          <w:sz w:val="20"/>
          <w:szCs w:val="20"/>
        </w:rPr>
        <w:t>Κοιν</w:t>
      </w:r>
      <w:proofErr w:type="spellEnd"/>
      <w:r w:rsidRPr="0028546A">
        <w:rPr>
          <w:rFonts w:ascii="Arial" w:hAnsi="Arial" w:cs="Arial"/>
          <w:b/>
          <w:sz w:val="20"/>
          <w:szCs w:val="20"/>
        </w:rPr>
        <w:t>.:</w:t>
      </w:r>
      <w:r w:rsidRPr="00A045A2">
        <w:rPr>
          <w:rFonts w:ascii="Arial" w:hAnsi="Arial" w:cs="Arial"/>
          <w:b/>
          <w:sz w:val="20"/>
          <w:szCs w:val="20"/>
        </w:rPr>
        <w:t xml:space="preserve"> </w:t>
      </w:r>
      <w:r w:rsidR="00633339">
        <w:rPr>
          <w:rFonts w:ascii="Arial" w:hAnsi="Arial" w:cs="Arial"/>
          <w:sz w:val="20"/>
          <w:szCs w:val="20"/>
        </w:rPr>
        <w:t xml:space="preserve">  </w:t>
      </w:r>
      <w:r w:rsidRPr="00A045A2">
        <w:rPr>
          <w:rFonts w:ascii="Arial" w:hAnsi="Arial" w:cs="Arial"/>
          <w:sz w:val="20"/>
          <w:szCs w:val="20"/>
        </w:rPr>
        <w:t>- Δ.Γ. κ. Πρωθυπουργού</w:t>
      </w:r>
    </w:p>
    <w:p w14:paraId="2DB99C4A" w14:textId="77777777" w:rsidR="0028546A" w:rsidRDefault="0028546A" w:rsidP="0028546A">
      <w:pPr>
        <w:ind w:firstLine="720"/>
        <w:outlineLvl w:val="0"/>
        <w:rPr>
          <w:rFonts w:ascii="Arial" w:hAnsi="Arial" w:cs="Arial"/>
          <w:sz w:val="20"/>
          <w:szCs w:val="20"/>
        </w:rPr>
      </w:pPr>
      <w:r w:rsidRPr="00A045A2">
        <w:rPr>
          <w:rFonts w:ascii="Arial" w:hAnsi="Arial" w:cs="Arial"/>
          <w:sz w:val="20"/>
          <w:szCs w:val="20"/>
        </w:rPr>
        <w:t>- Δ.Γ. κ. Υπουργού</w:t>
      </w:r>
    </w:p>
    <w:p w14:paraId="491CC676" w14:textId="77777777" w:rsidR="0028546A" w:rsidRDefault="0028546A" w:rsidP="0028546A">
      <w:pPr>
        <w:ind w:left="720"/>
        <w:outlineLvl w:val="0"/>
        <w:rPr>
          <w:rFonts w:ascii="Arial" w:hAnsi="Arial" w:cs="Arial"/>
          <w:sz w:val="20"/>
          <w:szCs w:val="20"/>
        </w:rPr>
      </w:pPr>
      <w:r w:rsidRPr="00A045A2">
        <w:rPr>
          <w:rFonts w:ascii="Arial" w:hAnsi="Arial" w:cs="Arial"/>
          <w:sz w:val="20"/>
          <w:szCs w:val="20"/>
        </w:rPr>
        <w:t xml:space="preserve">- Δ.Γ. Υφυπουργού </w:t>
      </w:r>
      <w:proofErr w:type="spellStart"/>
      <w:r w:rsidRPr="00A045A2">
        <w:rPr>
          <w:rFonts w:ascii="Arial" w:hAnsi="Arial" w:cs="Arial"/>
          <w:sz w:val="20"/>
          <w:szCs w:val="20"/>
        </w:rPr>
        <w:t>κας</w:t>
      </w:r>
      <w:proofErr w:type="spellEnd"/>
      <w:r w:rsidRPr="00A045A2">
        <w:rPr>
          <w:rFonts w:ascii="Arial" w:hAnsi="Arial" w:cs="Arial"/>
          <w:sz w:val="20"/>
          <w:szCs w:val="20"/>
        </w:rPr>
        <w:t xml:space="preserve"> Παπαδοπούλου</w:t>
      </w:r>
    </w:p>
    <w:p w14:paraId="3C0E91BD" w14:textId="77777777" w:rsidR="0028546A" w:rsidRDefault="0028546A" w:rsidP="0028546A">
      <w:pPr>
        <w:ind w:left="720"/>
        <w:outlineLvl w:val="0"/>
        <w:rPr>
          <w:rFonts w:ascii="Arial" w:hAnsi="Arial" w:cs="Arial"/>
          <w:sz w:val="20"/>
          <w:szCs w:val="20"/>
        </w:rPr>
      </w:pPr>
      <w:r w:rsidRPr="00A045A2">
        <w:rPr>
          <w:rFonts w:ascii="Arial" w:hAnsi="Arial" w:cs="Arial"/>
          <w:sz w:val="20"/>
          <w:szCs w:val="20"/>
        </w:rPr>
        <w:t>- Δ.Γ. Υφυπουργού κ. Θεοχάρη</w:t>
      </w:r>
    </w:p>
    <w:p w14:paraId="375B5385" w14:textId="77777777" w:rsidR="0028546A" w:rsidRDefault="0028546A" w:rsidP="0028546A">
      <w:pPr>
        <w:ind w:left="720"/>
        <w:outlineLvl w:val="0"/>
        <w:rPr>
          <w:rFonts w:ascii="Arial" w:hAnsi="Arial" w:cs="Arial"/>
          <w:sz w:val="20"/>
          <w:szCs w:val="20"/>
        </w:rPr>
      </w:pPr>
      <w:r w:rsidRPr="00A045A2">
        <w:rPr>
          <w:rFonts w:ascii="Arial" w:hAnsi="Arial" w:cs="Arial"/>
          <w:sz w:val="20"/>
          <w:szCs w:val="20"/>
        </w:rPr>
        <w:t xml:space="preserve">- </w:t>
      </w:r>
      <w:proofErr w:type="spellStart"/>
      <w:r w:rsidRPr="00A045A2">
        <w:rPr>
          <w:rFonts w:ascii="Arial" w:hAnsi="Arial" w:cs="Arial"/>
          <w:sz w:val="20"/>
          <w:szCs w:val="20"/>
        </w:rPr>
        <w:t>Γρ</w:t>
      </w:r>
      <w:proofErr w:type="spellEnd"/>
      <w:r w:rsidRPr="00A045A2">
        <w:rPr>
          <w:rFonts w:ascii="Arial" w:hAnsi="Arial" w:cs="Arial"/>
          <w:sz w:val="20"/>
          <w:szCs w:val="20"/>
        </w:rPr>
        <w:t>. κ. Γενικού Γραμματέα ΔΟΣ &amp; Εξ.</w:t>
      </w:r>
    </w:p>
    <w:p w14:paraId="6EBF7BEC" w14:textId="77777777" w:rsidR="0028546A" w:rsidRDefault="0028546A" w:rsidP="0028546A">
      <w:pPr>
        <w:ind w:left="720"/>
        <w:outlineLvl w:val="0"/>
        <w:rPr>
          <w:rFonts w:ascii="Arial" w:hAnsi="Arial" w:cs="Arial"/>
          <w:sz w:val="20"/>
          <w:szCs w:val="20"/>
        </w:rPr>
      </w:pPr>
      <w:r w:rsidRPr="00A045A2">
        <w:rPr>
          <w:rFonts w:ascii="Arial" w:hAnsi="Arial" w:cs="Arial"/>
          <w:sz w:val="20"/>
          <w:szCs w:val="20"/>
        </w:rPr>
        <w:t>- Α΄, Β΄ Γεν. Δ/</w:t>
      </w:r>
      <w:proofErr w:type="spellStart"/>
      <w:r w:rsidRPr="00A045A2">
        <w:rPr>
          <w:rFonts w:ascii="Arial" w:hAnsi="Arial" w:cs="Arial"/>
          <w:sz w:val="20"/>
          <w:szCs w:val="20"/>
        </w:rPr>
        <w:t>νσεις</w:t>
      </w:r>
      <w:proofErr w:type="spellEnd"/>
    </w:p>
    <w:p w14:paraId="34927CDB" w14:textId="55F13260" w:rsidR="0028546A" w:rsidRDefault="0028546A" w:rsidP="00BB6E75">
      <w:pPr>
        <w:ind w:left="720"/>
        <w:outlineLvl w:val="0"/>
        <w:rPr>
          <w:rFonts w:ascii="Arial" w:hAnsi="Arial" w:cs="Arial"/>
          <w:sz w:val="20"/>
          <w:szCs w:val="20"/>
        </w:rPr>
      </w:pPr>
      <w:r w:rsidRPr="00A045A2">
        <w:rPr>
          <w:rFonts w:ascii="Arial" w:hAnsi="Arial" w:cs="Arial"/>
          <w:sz w:val="20"/>
          <w:szCs w:val="20"/>
        </w:rPr>
        <w:t>- Α7, Β</w:t>
      </w:r>
      <w:r>
        <w:rPr>
          <w:rFonts w:ascii="Arial" w:hAnsi="Arial" w:cs="Arial"/>
          <w:sz w:val="20"/>
          <w:szCs w:val="20"/>
        </w:rPr>
        <w:t>1</w:t>
      </w:r>
      <w:r w:rsidR="00FE6AFC" w:rsidRPr="00FE6AFC">
        <w:rPr>
          <w:rFonts w:ascii="Arial" w:hAnsi="Arial" w:cs="Arial"/>
          <w:sz w:val="20"/>
          <w:szCs w:val="20"/>
        </w:rPr>
        <w:t xml:space="preserve">, </w:t>
      </w:r>
      <w:r w:rsidR="00147AB9">
        <w:rPr>
          <w:rFonts w:ascii="Arial" w:hAnsi="Arial" w:cs="Arial"/>
          <w:sz w:val="20"/>
          <w:szCs w:val="20"/>
          <w:lang w:val="en-US"/>
        </w:rPr>
        <w:t>B</w:t>
      </w:r>
      <w:r w:rsidR="00147AB9" w:rsidRPr="005F2E17">
        <w:rPr>
          <w:rFonts w:ascii="Arial" w:hAnsi="Arial" w:cs="Arial"/>
          <w:sz w:val="20"/>
          <w:szCs w:val="20"/>
        </w:rPr>
        <w:t>3</w:t>
      </w:r>
      <w:r w:rsidR="00FE6AFC" w:rsidRPr="00FE6AFC">
        <w:rPr>
          <w:rFonts w:ascii="Arial" w:hAnsi="Arial" w:cs="Arial"/>
          <w:sz w:val="20"/>
          <w:szCs w:val="20"/>
        </w:rPr>
        <w:t xml:space="preserve"> </w:t>
      </w:r>
      <w:r w:rsidRPr="00A045A2">
        <w:rPr>
          <w:rFonts w:ascii="Arial" w:hAnsi="Arial" w:cs="Arial"/>
          <w:sz w:val="20"/>
          <w:szCs w:val="20"/>
        </w:rPr>
        <w:t>Δ/</w:t>
      </w:r>
      <w:proofErr w:type="spellStart"/>
      <w:r w:rsidRPr="00A045A2">
        <w:rPr>
          <w:rFonts w:ascii="Arial" w:hAnsi="Arial" w:cs="Arial"/>
          <w:sz w:val="20"/>
          <w:szCs w:val="20"/>
        </w:rPr>
        <w:t>νσεις</w:t>
      </w:r>
      <w:proofErr w:type="spellEnd"/>
    </w:p>
    <w:p w14:paraId="582E884E" w14:textId="31FFB192" w:rsidR="0085709D" w:rsidRDefault="00BB6E75" w:rsidP="00EF608D">
      <w:pPr>
        <w:ind w:left="720"/>
        <w:outlineLvl w:val="0"/>
        <w:rPr>
          <w:rFonts w:ascii="Arial" w:hAnsi="Arial" w:cs="Arial"/>
          <w:sz w:val="20"/>
          <w:szCs w:val="20"/>
        </w:rPr>
      </w:pPr>
      <w:r>
        <w:rPr>
          <w:rFonts w:ascii="Arial" w:hAnsi="Arial" w:cs="Arial"/>
          <w:sz w:val="20"/>
          <w:szCs w:val="20"/>
        </w:rPr>
        <w:t>- ΜΑ ΕΕ</w:t>
      </w:r>
    </w:p>
    <w:p w14:paraId="49348BC1" w14:textId="638B9252" w:rsidR="0002265B" w:rsidRDefault="0002265B" w:rsidP="00E84048">
      <w:pPr>
        <w:spacing w:after="120"/>
        <w:ind w:left="720"/>
        <w:outlineLvl w:val="0"/>
        <w:rPr>
          <w:rFonts w:ascii="Arial" w:hAnsi="Arial" w:cs="Arial"/>
          <w:sz w:val="20"/>
          <w:szCs w:val="20"/>
        </w:rPr>
      </w:pPr>
      <w:r>
        <w:rPr>
          <w:rFonts w:ascii="Arial" w:hAnsi="Arial" w:cs="Arial"/>
          <w:sz w:val="20"/>
          <w:szCs w:val="20"/>
        </w:rPr>
        <w:t>- Προξενικές αρχές και Γραφεία ΟΕΥ ΗΠΑ</w:t>
      </w:r>
    </w:p>
    <w:p w14:paraId="6587A6BB" w14:textId="77777777" w:rsidR="00BA1A01" w:rsidRDefault="00BA1A01" w:rsidP="00BA1A01">
      <w:pPr>
        <w:spacing w:after="120"/>
        <w:ind w:left="720"/>
        <w:outlineLvl w:val="0"/>
        <w:rPr>
          <w:rFonts w:ascii="Arial" w:hAnsi="Arial" w:cs="Arial"/>
          <w:sz w:val="20"/>
          <w:szCs w:val="20"/>
        </w:rPr>
      </w:pPr>
      <w:r w:rsidRPr="00BA1A01">
        <w:rPr>
          <w:rFonts w:ascii="Arial" w:hAnsi="Arial" w:cs="Arial"/>
          <w:sz w:val="20"/>
          <w:szCs w:val="20"/>
        </w:rPr>
        <w:t xml:space="preserve">- </w:t>
      </w:r>
      <w:r>
        <w:rPr>
          <w:rFonts w:ascii="Arial" w:hAnsi="Arial" w:cs="Arial"/>
          <w:sz w:val="20"/>
          <w:szCs w:val="20"/>
        </w:rPr>
        <w:t xml:space="preserve">Επιχειρηματικούς συνδέσμους </w:t>
      </w:r>
      <w:r w:rsidRPr="004279E2">
        <w:rPr>
          <w:rFonts w:ascii="Arial" w:hAnsi="Arial" w:cs="Arial"/>
          <w:sz w:val="20"/>
          <w:szCs w:val="20"/>
        </w:rPr>
        <w:t>(</w:t>
      </w:r>
      <w:r>
        <w:rPr>
          <w:rFonts w:ascii="Arial" w:hAnsi="Arial" w:cs="Arial"/>
          <w:sz w:val="20"/>
          <w:szCs w:val="20"/>
        </w:rPr>
        <w:t xml:space="preserve">μέσω </w:t>
      </w:r>
      <w:r>
        <w:rPr>
          <w:rFonts w:ascii="Arial" w:hAnsi="Arial" w:cs="Arial"/>
          <w:sz w:val="20"/>
          <w:szCs w:val="20"/>
          <w:lang w:val="en-US"/>
        </w:rPr>
        <w:t>e</w:t>
      </w:r>
      <w:r w:rsidRPr="004279E2">
        <w:rPr>
          <w:rFonts w:ascii="Arial" w:hAnsi="Arial" w:cs="Arial"/>
          <w:sz w:val="20"/>
          <w:szCs w:val="20"/>
        </w:rPr>
        <w:t>-</w:t>
      </w:r>
      <w:r>
        <w:rPr>
          <w:rFonts w:ascii="Arial" w:hAnsi="Arial" w:cs="Arial"/>
          <w:sz w:val="20"/>
          <w:szCs w:val="20"/>
          <w:lang w:val="en-US"/>
        </w:rPr>
        <w:t>mail</w:t>
      </w:r>
      <w:r w:rsidRPr="004279E2">
        <w:rPr>
          <w:rFonts w:ascii="Arial" w:hAnsi="Arial" w:cs="Arial"/>
          <w:sz w:val="20"/>
          <w:szCs w:val="20"/>
        </w:rPr>
        <w:t>)</w:t>
      </w:r>
    </w:p>
    <w:p w14:paraId="29D492F6" w14:textId="797534B2" w:rsidR="0004144E" w:rsidRDefault="0028546A" w:rsidP="0004144E">
      <w:pPr>
        <w:tabs>
          <w:tab w:val="center" w:pos="5760"/>
        </w:tabs>
        <w:jc w:val="both"/>
        <w:rPr>
          <w:rFonts w:ascii="Arial" w:hAnsi="Arial" w:cs="Arial"/>
          <w:sz w:val="20"/>
          <w:szCs w:val="20"/>
        </w:rPr>
      </w:pPr>
      <w:r w:rsidRPr="0028546A">
        <w:rPr>
          <w:rFonts w:ascii="Arial" w:hAnsi="Arial" w:cs="Arial"/>
          <w:b/>
          <w:sz w:val="20"/>
          <w:szCs w:val="20"/>
        </w:rPr>
        <w:t>Ε.Δ.:</w:t>
      </w:r>
      <w:r w:rsidRPr="0028546A">
        <w:rPr>
          <w:rFonts w:ascii="Arial" w:hAnsi="Arial" w:cs="Arial"/>
          <w:sz w:val="20"/>
          <w:szCs w:val="20"/>
        </w:rPr>
        <w:t xml:space="preserve"> </w:t>
      </w:r>
      <w:r w:rsidRPr="00294E5A">
        <w:rPr>
          <w:rFonts w:ascii="Arial" w:hAnsi="Arial" w:cs="Arial"/>
          <w:sz w:val="20"/>
          <w:szCs w:val="20"/>
        </w:rPr>
        <w:t>Πρεσβεία</w:t>
      </w:r>
      <w:r w:rsidRPr="0028546A">
        <w:rPr>
          <w:rFonts w:ascii="Arial" w:hAnsi="Arial" w:cs="Arial"/>
          <w:sz w:val="20"/>
          <w:szCs w:val="20"/>
        </w:rPr>
        <w:t xml:space="preserve"> </w:t>
      </w:r>
      <w:r>
        <w:rPr>
          <w:rFonts w:ascii="Arial" w:hAnsi="Arial" w:cs="Arial"/>
          <w:sz w:val="20"/>
          <w:szCs w:val="20"/>
        </w:rPr>
        <w:t>Ουάσιγκτων</w:t>
      </w:r>
    </w:p>
    <w:p w14:paraId="6C84D242" w14:textId="77777777" w:rsidR="0047272D" w:rsidRDefault="0047272D" w:rsidP="0004144E">
      <w:pPr>
        <w:tabs>
          <w:tab w:val="center" w:pos="5760"/>
        </w:tabs>
        <w:jc w:val="both"/>
        <w:rPr>
          <w:rFonts w:ascii="Arial" w:hAnsi="Arial" w:cs="Arial"/>
          <w:b/>
          <w:sz w:val="20"/>
          <w:szCs w:val="20"/>
        </w:rPr>
      </w:pPr>
    </w:p>
    <w:p w14:paraId="4C0DB207" w14:textId="77777777" w:rsidR="002255FC" w:rsidRDefault="002255FC" w:rsidP="00147AB9">
      <w:pPr>
        <w:jc w:val="both"/>
        <w:rPr>
          <w:rFonts w:ascii="Arial" w:hAnsi="Arial" w:cs="Arial"/>
          <w:b/>
          <w:sz w:val="22"/>
          <w:szCs w:val="22"/>
        </w:rPr>
      </w:pPr>
    </w:p>
    <w:p w14:paraId="1F7CBC87" w14:textId="77777777" w:rsidR="002255FC" w:rsidRDefault="002255FC" w:rsidP="00147AB9">
      <w:pPr>
        <w:jc w:val="both"/>
        <w:rPr>
          <w:rFonts w:ascii="Arial" w:hAnsi="Arial" w:cs="Arial"/>
          <w:b/>
          <w:sz w:val="22"/>
          <w:szCs w:val="22"/>
        </w:rPr>
      </w:pPr>
    </w:p>
    <w:p w14:paraId="7FE6A3F6" w14:textId="18D2BEC0" w:rsidR="006A51FC" w:rsidRPr="00EF01F0" w:rsidRDefault="0028546A" w:rsidP="00147AB9">
      <w:pPr>
        <w:jc w:val="both"/>
        <w:rPr>
          <w:rFonts w:ascii="Arial" w:hAnsi="Arial" w:cs="Arial"/>
          <w:sz w:val="22"/>
          <w:szCs w:val="22"/>
        </w:rPr>
      </w:pPr>
      <w:r w:rsidRPr="00FF5E95">
        <w:rPr>
          <w:rFonts w:ascii="Arial" w:hAnsi="Arial" w:cs="Arial"/>
          <w:b/>
          <w:sz w:val="22"/>
          <w:szCs w:val="22"/>
        </w:rPr>
        <w:t>Θέμα</w:t>
      </w:r>
      <w:r w:rsidRPr="00FF5E95">
        <w:rPr>
          <w:rFonts w:ascii="Arial" w:hAnsi="Arial" w:cs="Arial"/>
          <w:sz w:val="22"/>
          <w:szCs w:val="22"/>
        </w:rPr>
        <w:t>:</w:t>
      </w:r>
      <w:r w:rsidR="00E84048" w:rsidRPr="00FF5E95">
        <w:rPr>
          <w:rFonts w:ascii="Arial" w:hAnsi="Arial" w:cs="Arial"/>
          <w:sz w:val="22"/>
          <w:szCs w:val="22"/>
        </w:rPr>
        <w:t xml:space="preserve"> </w:t>
      </w:r>
      <w:r w:rsidR="00EF01F0" w:rsidRPr="00FF5E95">
        <w:rPr>
          <w:rFonts w:ascii="Arial" w:hAnsi="Arial" w:cs="Arial"/>
          <w:sz w:val="22"/>
          <w:szCs w:val="22"/>
          <w:lang w:val="en-US"/>
        </w:rPr>
        <w:t>N</w:t>
      </w:r>
      <w:proofErr w:type="spellStart"/>
      <w:r w:rsidR="00EF01F0" w:rsidRPr="00FF5E95">
        <w:rPr>
          <w:rFonts w:ascii="Arial" w:hAnsi="Arial" w:cs="Arial"/>
          <w:color w:val="000000"/>
          <w:sz w:val="22"/>
          <w:szCs w:val="22"/>
          <w:shd w:val="clear" w:color="auto" w:fill="FCFDFE"/>
        </w:rPr>
        <w:t>έες</w:t>
      </w:r>
      <w:proofErr w:type="spellEnd"/>
      <w:r w:rsidR="00EF01F0" w:rsidRPr="00FF5E95">
        <w:rPr>
          <w:rFonts w:ascii="Arial" w:hAnsi="Arial" w:cs="Arial"/>
          <w:color w:val="000000"/>
          <w:sz w:val="22"/>
          <w:szCs w:val="22"/>
          <w:shd w:val="clear" w:color="auto" w:fill="FCFDFE"/>
        </w:rPr>
        <w:t xml:space="preserve"> δασμολογικές επιβαρύνσεις </w:t>
      </w:r>
      <w:r w:rsidR="00FF5E95" w:rsidRPr="00FF5E95">
        <w:rPr>
          <w:rFonts w:ascii="Arial" w:hAnsi="Arial" w:cs="Arial"/>
          <w:color w:val="000000"/>
          <w:sz w:val="22"/>
          <w:szCs w:val="22"/>
          <w:shd w:val="clear" w:color="auto" w:fill="FCFDFE"/>
        </w:rPr>
        <w:t xml:space="preserve">και εξαιρέσεις </w:t>
      </w:r>
      <w:r w:rsidR="00EF01F0" w:rsidRPr="00FF5E95">
        <w:rPr>
          <w:rFonts w:ascii="Arial" w:hAnsi="Arial" w:cs="Arial"/>
          <w:color w:val="000000"/>
          <w:sz w:val="22"/>
          <w:szCs w:val="22"/>
          <w:shd w:val="clear" w:color="auto" w:fill="FCFDFE"/>
        </w:rPr>
        <w:t>φαρμακευτικ</w:t>
      </w:r>
      <w:r w:rsidR="00FF5E95" w:rsidRPr="00FF5E95">
        <w:rPr>
          <w:rFonts w:ascii="Arial" w:hAnsi="Arial" w:cs="Arial"/>
          <w:color w:val="000000"/>
          <w:sz w:val="22"/>
          <w:szCs w:val="22"/>
          <w:shd w:val="clear" w:color="auto" w:fill="FCFDFE"/>
        </w:rPr>
        <w:t>ών</w:t>
      </w:r>
      <w:r w:rsidR="00EF01F0" w:rsidRPr="00FF5E95">
        <w:rPr>
          <w:rFonts w:ascii="Arial" w:hAnsi="Arial" w:cs="Arial"/>
          <w:color w:val="000000"/>
          <w:sz w:val="22"/>
          <w:szCs w:val="22"/>
          <w:shd w:val="clear" w:color="auto" w:fill="FCFDFE"/>
        </w:rPr>
        <w:t xml:space="preserve"> προϊόντ</w:t>
      </w:r>
      <w:r w:rsidR="00FF5E95" w:rsidRPr="00FF5E95">
        <w:rPr>
          <w:rFonts w:ascii="Arial" w:hAnsi="Arial" w:cs="Arial"/>
          <w:color w:val="000000"/>
          <w:sz w:val="22"/>
          <w:szCs w:val="22"/>
          <w:shd w:val="clear" w:color="auto" w:fill="FCFDFE"/>
        </w:rPr>
        <w:t>ων</w:t>
      </w:r>
      <w:r w:rsidR="00EF01F0" w:rsidRPr="00EF01F0">
        <w:rPr>
          <w:rFonts w:ascii="Arial" w:hAnsi="Arial" w:cs="Arial"/>
          <w:color w:val="000000"/>
          <w:sz w:val="22"/>
          <w:szCs w:val="22"/>
          <w:shd w:val="clear" w:color="auto" w:fill="FCFDFE"/>
        </w:rPr>
        <w:t xml:space="preserve"> </w:t>
      </w:r>
    </w:p>
    <w:p w14:paraId="514892B2" w14:textId="4337B543" w:rsidR="00147AB9" w:rsidRPr="00D30E43" w:rsidRDefault="00147AB9" w:rsidP="00EF608D">
      <w:pPr>
        <w:spacing w:after="240"/>
        <w:jc w:val="both"/>
        <w:rPr>
          <w:rFonts w:ascii="Arial" w:hAnsi="Arial" w:cs="Arial"/>
          <w:sz w:val="22"/>
          <w:szCs w:val="22"/>
        </w:rPr>
      </w:pPr>
      <w:proofErr w:type="spellStart"/>
      <w:r w:rsidRPr="00D30E43">
        <w:rPr>
          <w:rFonts w:ascii="Arial" w:hAnsi="Arial" w:cs="Arial"/>
          <w:b/>
          <w:sz w:val="22"/>
          <w:szCs w:val="22"/>
        </w:rPr>
        <w:t>Σχετ</w:t>
      </w:r>
      <w:proofErr w:type="spellEnd"/>
      <w:r w:rsidRPr="00D30E43">
        <w:rPr>
          <w:rFonts w:ascii="Arial" w:hAnsi="Arial" w:cs="Arial"/>
          <w:sz w:val="22"/>
          <w:szCs w:val="22"/>
        </w:rPr>
        <w:t>.: Έγγραφο Γραφείου ΟΕΥ Ουάσιγκτων</w:t>
      </w:r>
      <w:r w:rsidR="00EF01F0">
        <w:rPr>
          <w:rFonts w:ascii="Arial" w:hAnsi="Arial" w:cs="Arial"/>
          <w:sz w:val="22"/>
          <w:szCs w:val="22"/>
        </w:rPr>
        <w:t xml:space="preserve"> Α.Π. 416/27.02.2026</w:t>
      </w:r>
    </w:p>
    <w:p w14:paraId="226DDFC9" w14:textId="73EAF8F7" w:rsidR="008055A2" w:rsidRDefault="004F103F" w:rsidP="0019594D">
      <w:pPr>
        <w:spacing w:after="240"/>
        <w:jc w:val="both"/>
        <w:rPr>
          <w:rFonts w:ascii="Arial" w:hAnsi="Arial" w:cs="Arial"/>
          <w:sz w:val="22"/>
          <w:szCs w:val="22"/>
        </w:rPr>
      </w:pPr>
      <w:r>
        <w:rPr>
          <w:rFonts w:ascii="Arial" w:hAnsi="Arial" w:cs="Arial"/>
          <w:sz w:val="22"/>
          <w:szCs w:val="22"/>
        </w:rPr>
        <w:t>Σημαντικές αλλαγές ως προς την δασμολογική μεταχείριση των φαρμακευτικών προϊόντων ανακοίνωσε την Παρασκευή</w:t>
      </w:r>
      <w:r w:rsidR="0019594D">
        <w:rPr>
          <w:rFonts w:ascii="Arial" w:hAnsi="Arial" w:cs="Arial"/>
          <w:sz w:val="22"/>
          <w:szCs w:val="22"/>
        </w:rPr>
        <w:t xml:space="preserve">, 3 Απριλίου, </w:t>
      </w:r>
      <w:r>
        <w:rPr>
          <w:rFonts w:ascii="Arial" w:hAnsi="Arial" w:cs="Arial"/>
          <w:sz w:val="22"/>
          <w:szCs w:val="22"/>
        </w:rPr>
        <w:t>η Κυβέρνηση Τραμπ</w:t>
      </w:r>
      <w:r w:rsidR="0019594D">
        <w:rPr>
          <w:rFonts w:ascii="Arial" w:hAnsi="Arial" w:cs="Arial"/>
          <w:sz w:val="22"/>
          <w:szCs w:val="22"/>
        </w:rPr>
        <w:t xml:space="preserve"> με </w:t>
      </w:r>
      <w:hyperlink r:id="rId9" w:history="1">
        <w:r w:rsidR="0019594D" w:rsidRPr="008055A2">
          <w:rPr>
            <w:rStyle w:val="Hyperlink"/>
            <w:rFonts w:ascii="Arial" w:hAnsi="Arial" w:cs="Arial"/>
            <w:sz w:val="22"/>
            <w:szCs w:val="22"/>
          </w:rPr>
          <w:t>Διακήρυξη</w:t>
        </w:r>
      </w:hyperlink>
      <w:r w:rsidR="0019594D">
        <w:rPr>
          <w:rFonts w:ascii="Arial" w:hAnsi="Arial" w:cs="Arial"/>
          <w:sz w:val="22"/>
          <w:szCs w:val="22"/>
        </w:rPr>
        <w:t xml:space="preserve"> του Λευκού Οίκου</w:t>
      </w:r>
      <w:r>
        <w:rPr>
          <w:rFonts w:ascii="Arial" w:hAnsi="Arial" w:cs="Arial"/>
          <w:sz w:val="22"/>
          <w:szCs w:val="22"/>
        </w:rPr>
        <w:t>.</w:t>
      </w:r>
      <w:r w:rsidR="0019594D" w:rsidRPr="0019594D">
        <w:rPr>
          <w:rFonts w:ascii="Arial" w:hAnsi="Arial" w:cs="Arial"/>
          <w:sz w:val="22"/>
          <w:szCs w:val="22"/>
        </w:rPr>
        <w:t xml:space="preserve"> </w:t>
      </w:r>
    </w:p>
    <w:p w14:paraId="5C93115E" w14:textId="6A4977E3" w:rsidR="008055A2" w:rsidRPr="008055A2" w:rsidRDefault="008055A2" w:rsidP="008055A2">
      <w:pPr>
        <w:spacing w:after="120"/>
        <w:jc w:val="both"/>
        <w:rPr>
          <w:rFonts w:ascii="Arial" w:hAnsi="Arial" w:cs="Arial"/>
          <w:b/>
          <w:sz w:val="22"/>
          <w:szCs w:val="22"/>
          <w:lang w:val="en-US"/>
        </w:rPr>
      </w:pPr>
      <w:r w:rsidRPr="008055A2">
        <w:rPr>
          <w:rFonts w:ascii="Arial" w:hAnsi="Arial" w:cs="Arial"/>
          <w:b/>
          <w:sz w:val="22"/>
          <w:szCs w:val="22"/>
        </w:rPr>
        <w:t>Σύνοψη</w:t>
      </w:r>
      <w:r w:rsidRPr="008055A2">
        <w:rPr>
          <w:rFonts w:ascii="Arial" w:hAnsi="Arial" w:cs="Arial"/>
          <w:b/>
          <w:sz w:val="22"/>
          <w:szCs w:val="22"/>
          <w:lang w:val="en-US"/>
        </w:rPr>
        <w:t>:</w:t>
      </w:r>
    </w:p>
    <w:p w14:paraId="6F4DF570" w14:textId="0894DBCF" w:rsidR="008055A2" w:rsidRPr="008055A2" w:rsidRDefault="008055A2" w:rsidP="008055A2">
      <w:pPr>
        <w:pStyle w:val="ListParagraph"/>
        <w:numPr>
          <w:ilvl w:val="0"/>
          <w:numId w:val="23"/>
        </w:numPr>
        <w:spacing w:after="120"/>
        <w:contextualSpacing w:val="0"/>
        <w:jc w:val="both"/>
        <w:rPr>
          <w:rFonts w:ascii="Arial" w:hAnsi="Arial" w:cs="Arial"/>
          <w:sz w:val="22"/>
          <w:szCs w:val="22"/>
        </w:rPr>
      </w:pPr>
      <w:r w:rsidRPr="008055A2">
        <w:rPr>
          <w:rFonts w:ascii="Arial" w:hAnsi="Arial" w:cs="Arial"/>
          <w:sz w:val="22"/>
          <w:szCs w:val="22"/>
        </w:rPr>
        <w:t>Επιβάλλονται</w:t>
      </w:r>
      <w:r w:rsidRPr="008055A2">
        <w:rPr>
          <w:rFonts w:ascii="Arial" w:hAnsi="Arial" w:cs="Arial"/>
          <w:sz w:val="22"/>
          <w:szCs w:val="22"/>
        </w:rPr>
        <w:t xml:space="preserve"> δασμ</w:t>
      </w:r>
      <w:r w:rsidRPr="008055A2">
        <w:rPr>
          <w:rFonts w:ascii="Arial" w:hAnsi="Arial" w:cs="Arial"/>
          <w:sz w:val="22"/>
          <w:szCs w:val="22"/>
        </w:rPr>
        <w:t>οί</w:t>
      </w:r>
      <w:r w:rsidRPr="008055A2">
        <w:rPr>
          <w:rFonts w:ascii="Arial" w:hAnsi="Arial" w:cs="Arial"/>
          <w:sz w:val="22"/>
          <w:szCs w:val="22"/>
        </w:rPr>
        <w:t xml:space="preserve"> έως και 100% σε ορισμένα εισαγόμενα φάρμακα επιδιώκοντας να </w:t>
      </w:r>
      <w:r w:rsidRPr="008055A2">
        <w:rPr>
          <w:rFonts w:ascii="Arial" w:hAnsi="Arial" w:cs="Arial"/>
          <w:sz w:val="22"/>
          <w:szCs w:val="22"/>
        </w:rPr>
        <w:t xml:space="preserve">ασκηθεί </w:t>
      </w:r>
      <w:r w:rsidRPr="008055A2">
        <w:rPr>
          <w:rFonts w:ascii="Arial" w:hAnsi="Arial" w:cs="Arial"/>
          <w:sz w:val="22"/>
          <w:szCs w:val="22"/>
        </w:rPr>
        <w:t>πίεση στις φαρμακευτικές εταιρείες να μεταφέρουν την παραγωγή τους στις ΗΠΑ.</w:t>
      </w:r>
    </w:p>
    <w:p w14:paraId="1CCDB7AF" w14:textId="34C56645" w:rsidR="008055A2" w:rsidRPr="008055A2" w:rsidRDefault="008055A2" w:rsidP="008055A2">
      <w:pPr>
        <w:pStyle w:val="ListParagraph"/>
        <w:numPr>
          <w:ilvl w:val="0"/>
          <w:numId w:val="23"/>
        </w:numPr>
        <w:spacing w:after="120"/>
        <w:contextualSpacing w:val="0"/>
        <w:jc w:val="both"/>
        <w:rPr>
          <w:rFonts w:ascii="Arial" w:hAnsi="Arial" w:cs="Arial"/>
          <w:sz w:val="22"/>
          <w:szCs w:val="22"/>
        </w:rPr>
      </w:pPr>
      <w:r w:rsidRPr="008055A2">
        <w:rPr>
          <w:rFonts w:ascii="Arial" w:hAnsi="Arial" w:cs="Arial"/>
          <w:sz w:val="22"/>
          <w:szCs w:val="22"/>
        </w:rPr>
        <w:t>Οι νέοι δασμοί αφορούν</w:t>
      </w:r>
      <w:r w:rsidRPr="008055A2">
        <w:rPr>
          <w:rFonts w:ascii="Arial" w:hAnsi="Arial" w:cs="Arial"/>
          <w:sz w:val="22"/>
          <w:szCs w:val="22"/>
        </w:rPr>
        <w:t xml:space="preserve"> τα κατοχυρωμένα με δίπλωμα ευρεσιτεχνίας φάρμακα που κατασκευάζονται σε χώρες, οι οποίες δεν έχουν συνάψει δασμολογικές συμφωνίες με τις ΗΠΑ</w:t>
      </w:r>
      <w:r w:rsidRPr="008055A2">
        <w:rPr>
          <w:rFonts w:ascii="Arial" w:hAnsi="Arial" w:cs="Arial"/>
          <w:sz w:val="22"/>
          <w:szCs w:val="22"/>
        </w:rPr>
        <w:t>,</w:t>
      </w:r>
      <w:r w:rsidRPr="008055A2">
        <w:rPr>
          <w:rFonts w:ascii="Arial" w:hAnsi="Arial" w:cs="Arial"/>
          <w:sz w:val="22"/>
          <w:szCs w:val="22"/>
        </w:rPr>
        <w:t xml:space="preserve"> από εταιρείες που δεν έχουν συμφωνίες τιμολόγησης με βάση την ρήτρα του πλέον </w:t>
      </w:r>
      <w:proofErr w:type="spellStart"/>
      <w:r w:rsidRPr="008055A2">
        <w:rPr>
          <w:rFonts w:ascii="Arial" w:hAnsi="Arial" w:cs="Arial"/>
          <w:sz w:val="22"/>
          <w:szCs w:val="22"/>
        </w:rPr>
        <w:t>ευνοο</w:t>
      </w:r>
      <w:r w:rsidRPr="008055A2">
        <w:rPr>
          <w:rFonts w:ascii="Arial" w:hAnsi="Arial" w:cs="Arial"/>
          <w:sz w:val="22"/>
          <w:szCs w:val="22"/>
        </w:rPr>
        <w:t>υ</w:t>
      </w:r>
      <w:r w:rsidRPr="008055A2">
        <w:rPr>
          <w:rFonts w:ascii="Arial" w:hAnsi="Arial" w:cs="Arial"/>
          <w:sz w:val="22"/>
          <w:szCs w:val="22"/>
        </w:rPr>
        <w:t>μ</w:t>
      </w:r>
      <w:r w:rsidRPr="008055A2">
        <w:rPr>
          <w:rFonts w:ascii="Arial" w:hAnsi="Arial" w:cs="Arial"/>
          <w:sz w:val="22"/>
          <w:szCs w:val="22"/>
        </w:rPr>
        <w:t>έ</w:t>
      </w:r>
      <w:r w:rsidRPr="008055A2">
        <w:rPr>
          <w:rFonts w:ascii="Arial" w:hAnsi="Arial" w:cs="Arial"/>
          <w:sz w:val="22"/>
          <w:szCs w:val="22"/>
        </w:rPr>
        <w:t>νου</w:t>
      </w:r>
      <w:proofErr w:type="spellEnd"/>
      <w:r w:rsidRPr="008055A2">
        <w:rPr>
          <w:rFonts w:ascii="Arial" w:hAnsi="Arial" w:cs="Arial"/>
          <w:sz w:val="22"/>
          <w:szCs w:val="22"/>
        </w:rPr>
        <w:t xml:space="preserve"> κράτους (</w:t>
      </w:r>
      <w:r w:rsidRPr="008055A2">
        <w:rPr>
          <w:rFonts w:ascii="Arial" w:hAnsi="Arial" w:cs="Arial"/>
          <w:sz w:val="22"/>
          <w:szCs w:val="22"/>
          <w:lang w:val="en-US"/>
        </w:rPr>
        <w:t>MFN</w:t>
      </w:r>
      <w:r w:rsidRPr="008055A2">
        <w:rPr>
          <w:rFonts w:ascii="Arial" w:hAnsi="Arial" w:cs="Arial"/>
          <w:sz w:val="22"/>
          <w:szCs w:val="22"/>
        </w:rPr>
        <w:t xml:space="preserve">). </w:t>
      </w:r>
    </w:p>
    <w:p w14:paraId="49BAE175" w14:textId="126C9B07" w:rsidR="008055A2" w:rsidRPr="008055A2" w:rsidRDefault="008055A2" w:rsidP="008055A2">
      <w:pPr>
        <w:pStyle w:val="ListParagraph"/>
        <w:numPr>
          <w:ilvl w:val="0"/>
          <w:numId w:val="23"/>
        </w:numPr>
        <w:spacing w:after="120"/>
        <w:contextualSpacing w:val="0"/>
        <w:jc w:val="both"/>
        <w:rPr>
          <w:rFonts w:ascii="Arial" w:hAnsi="Arial" w:cs="Arial"/>
          <w:sz w:val="22"/>
          <w:szCs w:val="22"/>
        </w:rPr>
      </w:pPr>
      <w:r w:rsidRPr="008055A2">
        <w:rPr>
          <w:rFonts w:ascii="Arial" w:hAnsi="Arial" w:cs="Arial"/>
          <w:sz w:val="22"/>
          <w:szCs w:val="22"/>
        </w:rPr>
        <w:t xml:space="preserve">Οι δασμοί </w:t>
      </w:r>
      <w:r w:rsidRPr="008055A2">
        <w:rPr>
          <w:rFonts w:ascii="Arial" w:hAnsi="Arial" w:cs="Arial"/>
          <w:sz w:val="22"/>
          <w:szCs w:val="22"/>
        </w:rPr>
        <w:t xml:space="preserve">σε </w:t>
      </w:r>
      <w:r w:rsidRPr="008055A2">
        <w:rPr>
          <w:rFonts w:ascii="Arial" w:hAnsi="Arial" w:cs="Arial"/>
          <w:sz w:val="22"/>
          <w:szCs w:val="22"/>
        </w:rPr>
        <w:t xml:space="preserve">εισαγωγές από </w:t>
      </w:r>
      <w:r w:rsidRPr="008055A2">
        <w:rPr>
          <w:rFonts w:ascii="Arial" w:hAnsi="Arial" w:cs="Arial"/>
          <w:sz w:val="22"/>
          <w:szCs w:val="22"/>
        </w:rPr>
        <w:t>χώρες</w:t>
      </w:r>
      <w:r w:rsidRPr="008055A2">
        <w:rPr>
          <w:rFonts w:ascii="Arial" w:hAnsi="Arial" w:cs="Arial"/>
          <w:sz w:val="22"/>
          <w:szCs w:val="22"/>
        </w:rPr>
        <w:t xml:space="preserve"> που συνάπτουν συμφωνίες με τον Λευκό Οίκο θα έχουν ανώτατο όριο το 15%. Αυτό περιλαμβάνει την Ευρωπαϊκή Ένωση, τη Νότια Κορέα, την Ιαπωνία, την Ελβετία και το Λιχτενστάιν, ανέφερε η δήλωση. Οι εισαγωγές από το Ηνωμένο Βασίλειο θα αντιμετωπίσουν χαμηλότερο συντελεστή.</w:t>
      </w:r>
    </w:p>
    <w:p w14:paraId="21682BC9" w14:textId="22575C7F" w:rsidR="008055A2" w:rsidRPr="008055A2" w:rsidRDefault="008055A2" w:rsidP="008055A2">
      <w:pPr>
        <w:pStyle w:val="ListParagraph"/>
        <w:numPr>
          <w:ilvl w:val="0"/>
          <w:numId w:val="23"/>
        </w:numPr>
        <w:spacing w:after="120"/>
        <w:contextualSpacing w:val="0"/>
        <w:jc w:val="both"/>
        <w:rPr>
          <w:rFonts w:ascii="Arial" w:hAnsi="Arial" w:cs="Arial"/>
          <w:sz w:val="22"/>
          <w:szCs w:val="22"/>
        </w:rPr>
      </w:pPr>
      <w:r w:rsidRPr="008055A2">
        <w:rPr>
          <w:rFonts w:ascii="Arial" w:hAnsi="Arial" w:cs="Arial"/>
          <w:sz w:val="22"/>
          <w:szCs w:val="22"/>
        </w:rPr>
        <w:t xml:space="preserve">Τα φάρμακα που κατασκευάζονται από εταιρείες που δεσμεύονται να παράγουν κάποια προϊόντα στις ΗΠΑ, θα δασμολογηθούν με 20% και, </w:t>
      </w:r>
      <w:r w:rsidRPr="008055A2">
        <w:rPr>
          <w:rFonts w:ascii="Arial" w:hAnsi="Arial" w:cs="Arial"/>
          <w:sz w:val="22"/>
          <w:szCs w:val="22"/>
        </w:rPr>
        <w:t xml:space="preserve">μπορεί υπό </w:t>
      </w:r>
      <w:r w:rsidRPr="008055A2">
        <w:rPr>
          <w:rFonts w:ascii="Arial" w:hAnsi="Arial" w:cs="Arial"/>
          <w:sz w:val="22"/>
          <w:szCs w:val="22"/>
        </w:rPr>
        <w:lastRenderedPageBreak/>
        <w:t>προϋποθέσεις να μηδενισθεί.</w:t>
      </w:r>
      <w:r w:rsidRPr="008055A2">
        <w:rPr>
          <w:rFonts w:ascii="Arial" w:hAnsi="Arial" w:cs="Arial"/>
          <w:sz w:val="22"/>
          <w:szCs w:val="22"/>
        </w:rPr>
        <w:t xml:space="preserve"> Η απαλλαγή από δασμούς διαρκεί έως τις 20 Ιανουαρίου 2029.</w:t>
      </w:r>
    </w:p>
    <w:p w14:paraId="34646F2C" w14:textId="328CF852" w:rsidR="008055A2" w:rsidRPr="008055A2" w:rsidRDefault="008055A2" w:rsidP="008055A2">
      <w:pPr>
        <w:pStyle w:val="ListParagraph"/>
        <w:numPr>
          <w:ilvl w:val="0"/>
          <w:numId w:val="23"/>
        </w:numPr>
        <w:spacing w:after="120"/>
        <w:contextualSpacing w:val="0"/>
        <w:jc w:val="both"/>
        <w:rPr>
          <w:rFonts w:ascii="Arial" w:hAnsi="Arial" w:cs="Arial"/>
          <w:sz w:val="22"/>
          <w:szCs w:val="22"/>
        </w:rPr>
      </w:pPr>
      <w:r w:rsidRPr="008055A2">
        <w:rPr>
          <w:rFonts w:ascii="Arial" w:hAnsi="Arial" w:cs="Arial"/>
          <w:sz w:val="22"/>
          <w:szCs w:val="22"/>
        </w:rPr>
        <w:t xml:space="preserve">Οι </w:t>
      </w:r>
      <w:r w:rsidRPr="008055A2">
        <w:rPr>
          <w:rFonts w:ascii="Arial" w:hAnsi="Arial" w:cs="Arial"/>
          <w:sz w:val="22"/>
          <w:szCs w:val="22"/>
        </w:rPr>
        <w:t xml:space="preserve">νέες αλλαγές αποτελούν συνέχεια </w:t>
      </w:r>
      <w:r w:rsidRPr="008055A2">
        <w:rPr>
          <w:rFonts w:ascii="Arial" w:hAnsi="Arial" w:cs="Arial"/>
          <w:sz w:val="22"/>
          <w:szCs w:val="22"/>
        </w:rPr>
        <w:t xml:space="preserve">της δήλωσης που έκανε ο Πρόεδρος </w:t>
      </w:r>
      <w:r w:rsidRPr="008055A2">
        <w:rPr>
          <w:rFonts w:ascii="Arial" w:hAnsi="Arial" w:cs="Arial"/>
          <w:sz w:val="22"/>
          <w:szCs w:val="22"/>
          <w:lang w:val="en-US"/>
        </w:rPr>
        <w:t>Trump</w:t>
      </w:r>
      <w:r w:rsidRPr="008055A2">
        <w:rPr>
          <w:rFonts w:ascii="Arial" w:hAnsi="Arial" w:cs="Arial"/>
          <w:sz w:val="22"/>
          <w:szCs w:val="22"/>
        </w:rPr>
        <w:t xml:space="preserve"> το περασμένο φθινόπωρο, ότι θα επιβάλει δασμούς 100% σε επώνυμα ή κατοχυρωμένα με δίπλωμα ευρεσιτεχνίας φάρμακα, εκτός εάν οι εταιρείες μεταφέρουν την παραγωγή στις ΗΠΑ. Αλλά περιέχουν επίσης σημαντικές εξαιρέσεις που </w:t>
      </w:r>
      <w:r w:rsidRPr="008055A2">
        <w:rPr>
          <w:rFonts w:ascii="Arial" w:hAnsi="Arial" w:cs="Arial"/>
          <w:sz w:val="22"/>
          <w:szCs w:val="22"/>
        </w:rPr>
        <w:t>μπορεί</w:t>
      </w:r>
      <w:r w:rsidRPr="008055A2">
        <w:rPr>
          <w:rFonts w:ascii="Arial" w:hAnsi="Arial" w:cs="Arial"/>
          <w:sz w:val="22"/>
          <w:szCs w:val="22"/>
        </w:rPr>
        <w:t xml:space="preserve"> να αμβλύνουν τον αντίκτυπο των μέτρων.</w:t>
      </w:r>
    </w:p>
    <w:p w14:paraId="0C09CAD2" w14:textId="77777777" w:rsidR="008055A2" w:rsidRPr="008055A2" w:rsidRDefault="008055A2" w:rsidP="008055A2">
      <w:pPr>
        <w:pStyle w:val="ListParagraph"/>
        <w:numPr>
          <w:ilvl w:val="0"/>
          <w:numId w:val="23"/>
        </w:numPr>
        <w:spacing w:after="120"/>
        <w:contextualSpacing w:val="0"/>
        <w:jc w:val="both"/>
        <w:rPr>
          <w:rFonts w:ascii="Arial" w:hAnsi="Arial" w:cs="Arial"/>
          <w:sz w:val="22"/>
          <w:szCs w:val="22"/>
        </w:rPr>
      </w:pPr>
      <w:r w:rsidRPr="008055A2">
        <w:rPr>
          <w:rFonts w:ascii="Arial" w:hAnsi="Arial" w:cs="Arial"/>
          <w:sz w:val="22"/>
          <w:szCs w:val="22"/>
        </w:rPr>
        <w:t xml:space="preserve">Οι περισσότερες από τις μεγαλύτερες φαρμακοβιομηχανίες στον κόσμο, συμπεριλαμβανομένων των </w:t>
      </w:r>
      <w:r w:rsidRPr="008055A2">
        <w:rPr>
          <w:rFonts w:ascii="Arial" w:hAnsi="Arial" w:cs="Arial"/>
          <w:sz w:val="22"/>
          <w:szCs w:val="22"/>
          <w:lang w:val="en-US"/>
        </w:rPr>
        <w:t>Merck</w:t>
      </w:r>
      <w:r w:rsidRPr="008055A2">
        <w:rPr>
          <w:rFonts w:ascii="Arial" w:hAnsi="Arial" w:cs="Arial"/>
          <w:sz w:val="22"/>
          <w:szCs w:val="22"/>
        </w:rPr>
        <w:t xml:space="preserve"> &amp; </w:t>
      </w:r>
      <w:r w:rsidRPr="008055A2">
        <w:rPr>
          <w:rFonts w:ascii="Arial" w:hAnsi="Arial" w:cs="Arial"/>
          <w:sz w:val="22"/>
          <w:szCs w:val="22"/>
          <w:lang w:val="en-US"/>
        </w:rPr>
        <w:t>Co</w:t>
      </w:r>
      <w:r w:rsidRPr="008055A2">
        <w:rPr>
          <w:rFonts w:ascii="Arial" w:hAnsi="Arial" w:cs="Arial"/>
          <w:sz w:val="22"/>
          <w:szCs w:val="22"/>
        </w:rPr>
        <w:t xml:space="preserve">. και </w:t>
      </w:r>
      <w:r w:rsidRPr="008055A2">
        <w:rPr>
          <w:rFonts w:ascii="Arial" w:hAnsi="Arial" w:cs="Arial"/>
          <w:sz w:val="22"/>
          <w:szCs w:val="22"/>
          <w:lang w:val="en-US"/>
        </w:rPr>
        <w:t>Eli</w:t>
      </w:r>
      <w:r w:rsidRPr="008055A2">
        <w:rPr>
          <w:rFonts w:ascii="Arial" w:hAnsi="Arial" w:cs="Arial"/>
          <w:sz w:val="22"/>
          <w:szCs w:val="22"/>
        </w:rPr>
        <w:t xml:space="preserve"> </w:t>
      </w:r>
      <w:r w:rsidRPr="008055A2">
        <w:rPr>
          <w:rFonts w:ascii="Arial" w:hAnsi="Arial" w:cs="Arial"/>
          <w:sz w:val="22"/>
          <w:szCs w:val="22"/>
          <w:lang w:val="en-US"/>
        </w:rPr>
        <w:t>Lilly</w:t>
      </w:r>
      <w:r w:rsidRPr="008055A2">
        <w:rPr>
          <w:rFonts w:ascii="Arial" w:hAnsi="Arial" w:cs="Arial"/>
          <w:sz w:val="22"/>
          <w:szCs w:val="22"/>
        </w:rPr>
        <w:t xml:space="preserve"> &amp; </w:t>
      </w:r>
      <w:r w:rsidRPr="008055A2">
        <w:rPr>
          <w:rFonts w:ascii="Arial" w:hAnsi="Arial" w:cs="Arial"/>
          <w:sz w:val="22"/>
          <w:szCs w:val="22"/>
          <w:lang w:val="en-US"/>
        </w:rPr>
        <w:t>Co</w:t>
      </w:r>
      <w:r w:rsidRPr="008055A2">
        <w:rPr>
          <w:rFonts w:ascii="Arial" w:hAnsi="Arial" w:cs="Arial"/>
          <w:sz w:val="22"/>
          <w:szCs w:val="22"/>
        </w:rPr>
        <w:t>., απέφυγαν τον κίνδυνο, συνάπτοντας συμφωνίες με την κυβέρνηση. Επομένως αναμένεται ότι οι νέοι δασμοί θα πλήξουν κυρίως τις μικρότερες φαρμακευτικές εταιρείες και τους κατασκευαστές συστατικών.</w:t>
      </w:r>
    </w:p>
    <w:p w14:paraId="6EB699FA" w14:textId="64C22510" w:rsidR="008055A2" w:rsidRPr="008055A2" w:rsidRDefault="008055A2" w:rsidP="008055A2">
      <w:pPr>
        <w:pStyle w:val="ListParagraph"/>
        <w:numPr>
          <w:ilvl w:val="0"/>
          <w:numId w:val="23"/>
        </w:numPr>
        <w:spacing w:after="120"/>
        <w:contextualSpacing w:val="0"/>
        <w:jc w:val="both"/>
        <w:rPr>
          <w:rFonts w:ascii="Arial" w:hAnsi="Arial" w:cs="Arial"/>
          <w:sz w:val="22"/>
          <w:szCs w:val="22"/>
        </w:rPr>
      </w:pPr>
      <w:r w:rsidRPr="008055A2">
        <w:rPr>
          <w:rFonts w:ascii="Arial" w:hAnsi="Arial" w:cs="Arial"/>
          <w:sz w:val="22"/>
          <w:szCs w:val="22"/>
        </w:rPr>
        <w:t xml:space="preserve">Τα γενόσημα φάρμακα δεν θα πληγούν από τους νέους δασμούς, ωστόσο ο Πρόεδρος </w:t>
      </w:r>
      <w:r w:rsidRPr="008055A2">
        <w:rPr>
          <w:rFonts w:ascii="Arial" w:hAnsi="Arial" w:cs="Arial"/>
          <w:sz w:val="22"/>
          <w:szCs w:val="22"/>
          <w:lang w:val="en-US"/>
        </w:rPr>
        <w:t>Trump</w:t>
      </w:r>
      <w:r w:rsidRPr="008055A2">
        <w:rPr>
          <w:rFonts w:ascii="Arial" w:hAnsi="Arial" w:cs="Arial"/>
          <w:sz w:val="22"/>
          <w:szCs w:val="22"/>
        </w:rPr>
        <w:t xml:space="preserve"> κάλεσε το Υπουργείο Εμπορίου να επαναξιολογήσει αυτά τα προϊόντα εντός έτους, γεγονός που αφήνει ανοικτό το ενδεχόμενο επιβολής νέων δασμών στο μέλλον, ανάλογα με τον βαθμό αναδιοργάνωσης της παραγωγής τους. </w:t>
      </w:r>
    </w:p>
    <w:p w14:paraId="1F893F4B" w14:textId="60FC0EFD" w:rsidR="008055A2" w:rsidRPr="008055A2" w:rsidRDefault="008055A2" w:rsidP="008055A2">
      <w:pPr>
        <w:pStyle w:val="ListParagraph"/>
        <w:numPr>
          <w:ilvl w:val="0"/>
          <w:numId w:val="23"/>
        </w:numPr>
        <w:spacing w:after="480"/>
        <w:contextualSpacing w:val="0"/>
        <w:jc w:val="both"/>
        <w:rPr>
          <w:rFonts w:ascii="Arial" w:hAnsi="Arial" w:cs="Arial"/>
          <w:sz w:val="22"/>
          <w:szCs w:val="22"/>
        </w:rPr>
      </w:pPr>
      <w:r w:rsidRPr="008055A2">
        <w:rPr>
          <w:rFonts w:ascii="Arial" w:hAnsi="Arial" w:cs="Arial"/>
          <w:sz w:val="22"/>
          <w:szCs w:val="22"/>
        </w:rPr>
        <w:t xml:space="preserve">Οι νέοι δασμοί είναι αποτέλεσμα της έρευνας που ξεκίνησε τον Απρίλιο του 2025 βάσει του Άρθρου 232 του Νόμου για την Επέκταση του Εμπορίου. Αυτό επιτρέπει στον πρόεδρο να επιβάλλει μονομερώς δασμούς στις εισαγωγές που θεωρούνται απειλή για την εθνική ασφάλεια. </w:t>
      </w:r>
      <w:r w:rsidRPr="008055A2">
        <w:rPr>
          <w:rFonts w:ascii="Arial" w:hAnsi="Arial" w:cs="Arial"/>
          <w:sz w:val="22"/>
          <w:szCs w:val="22"/>
        </w:rPr>
        <w:t>Επιχειρηματικοί σύνδεσμοι</w:t>
      </w:r>
      <w:r w:rsidRPr="008055A2">
        <w:rPr>
          <w:rFonts w:ascii="Arial" w:hAnsi="Arial" w:cs="Arial"/>
          <w:sz w:val="22"/>
          <w:szCs w:val="22"/>
        </w:rPr>
        <w:t xml:space="preserve"> έχουν εκφράσει ανησυχία ότι τα μέτρα θα μπορούσαν  να προκαλέσουν χάος στις αλυ</w:t>
      </w:r>
      <w:r w:rsidRPr="008055A2">
        <w:rPr>
          <w:rFonts w:ascii="Arial" w:hAnsi="Arial" w:cs="Arial"/>
          <w:sz w:val="22"/>
          <w:szCs w:val="22"/>
        </w:rPr>
        <w:t>σ</w:t>
      </w:r>
      <w:r w:rsidRPr="008055A2">
        <w:rPr>
          <w:rFonts w:ascii="Arial" w:hAnsi="Arial" w:cs="Arial"/>
          <w:sz w:val="22"/>
          <w:szCs w:val="22"/>
        </w:rPr>
        <w:t>σίδες εφοδιασμού, να επιδεινώσουν τις ελλείψεις και να αυξήσουν το κόστος φαρμακευτικής περίθαλψης για τους Αμερικανούς.</w:t>
      </w:r>
    </w:p>
    <w:p w14:paraId="56C169B9" w14:textId="035E5891" w:rsidR="004F103F" w:rsidRPr="0019594D" w:rsidRDefault="0019594D" w:rsidP="0019594D">
      <w:pPr>
        <w:spacing w:after="240"/>
        <w:jc w:val="both"/>
        <w:rPr>
          <w:rFonts w:ascii="Arial" w:hAnsi="Arial" w:cs="Arial"/>
          <w:sz w:val="22"/>
          <w:szCs w:val="22"/>
        </w:rPr>
      </w:pPr>
      <w:r>
        <w:rPr>
          <w:rFonts w:ascii="Arial" w:hAnsi="Arial" w:cs="Arial"/>
          <w:sz w:val="22"/>
          <w:szCs w:val="22"/>
        </w:rPr>
        <w:t>Παραθέτουμε κατωτέρω τα νέα μέτρα</w:t>
      </w:r>
      <w:r w:rsidRPr="0019594D">
        <w:rPr>
          <w:rFonts w:ascii="Arial" w:hAnsi="Arial" w:cs="Arial"/>
          <w:sz w:val="22"/>
          <w:szCs w:val="22"/>
        </w:rPr>
        <w:t>:</w:t>
      </w:r>
    </w:p>
    <w:p w14:paraId="21C1BB59" w14:textId="5D3F3A8B" w:rsidR="0019594D" w:rsidRPr="0019594D" w:rsidRDefault="0019594D" w:rsidP="0003074D">
      <w:pPr>
        <w:tabs>
          <w:tab w:val="center" w:pos="5400"/>
        </w:tabs>
        <w:spacing w:after="240"/>
        <w:ind w:left="270" w:hanging="270"/>
        <w:jc w:val="both"/>
        <w:rPr>
          <w:rFonts w:ascii="Arial" w:hAnsi="Arial" w:cs="Arial"/>
          <w:sz w:val="22"/>
          <w:szCs w:val="22"/>
        </w:rPr>
      </w:pPr>
      <w:r>
        <w:rPr>
          <w:rFonts w:ascii="Arial" w:hAnsi="Arial" w:cs="Arial"/>
          <w:sz w:val="22"/>
          <w:szCs w:val="22"/>
        </w:rPr>
        <w:t>1</w:t>
      </w:r>
      <w:r w:rsidR="0003074D">
        <w:rPr>
          <w:rFonts w:ascii="Arial" w:hAnsi="Arial" w:cs="Arial"/>
          <w:sz w:val="22"/>
          <w:szCs w:val="22"/>
        </w:rPr>
        <w:t>.</w:t>
      </w:r>
      <w:r w:rsidRPr="0019594D">
        <w:rPr>
          <w:rFonts w:ascii="Arial" w:hAnsi="Arial" w:cs="Arial"/>
          <w:sz w:val="22"/>
          <w:szCs w:val="22"/>
        </w:rPr>
        <w:t xml:space="preserve"> </w:t>
      </w:r>
      <w:r w:rsidR="00E26DEA">
        <w:rPr>
          <w:rFonts w:ascii="Arial" w:hAnsi="Arial" w:cs="Arial"/>
          <w:sz w:val="22"/>
          <w:szCs w:val="22"/>
        </w:rPr>
        <w:t xml:space="preserve">α. </w:t>
      </w:r>
      <w:r w:rsidRPr="0019594D">
        <w:rPr>
          <w:rFonts w:ascii="Arial" w:hAnsi="Arial" w:cs="Arial"/>
          <w:sz w:val="22"/>
          <w:szCs w:val="22"/>
        </w:rPr>
        <w:t xml:space="preserve">Οι εισαγωγές </w:t>
      </w:r>
      <w:r>
        <w:rPr>
          <w:rFonts w:ascii="Arial" w:hAnsi="Arial" w:cs="Arial"/>
          <w:sz w:val="22"/>
          <w:szCs w:val="22"/>
        </w:rPr>
        <w:t xml:space="preserve">επώνυμων </w:t>
      </w:r>
      <w:r w:rsidRPr="0019594D">
        <w:rPr>
          <w:rFonts w:ascii="Arial" w:hAnsi="Arial" w:cs="Arial"/>
          <w:sz w:val="22"/>
          <w:szCs w:val="22"/>
        </w:rPr>
        <w:t xml:space="preserve">φαρμακευτικών προϊόντων </w:t>
      </w:r>
      <w:r>
        <w:rPr>
          <w:rFonts w:ascii="Arial" w:hAnsi="Arial" w:cs="Arial"/>
          <w:sz w:val="22"/>
          <w:szCs w:val="22"/>
        </w:rPr>
        <w:t xml:space="preserve">για τα οποία ισχύει η κατοχύρωση </w:t>
      </w:r>
      <w:r w:rsidRPr="0019594D">
        <w:rPr>
          <w:rFonts w:ascii="Arial" w:hAnsi="Arial" w:cs="Arial"/>
          <w:sz w:val="22"/>
          <w:szCs w:val="22"/>
        </w:rPr>
        <w:t xml:space="preserve">με δίπλωμα ευρεσιτεχνίας και συναφών φαρμακευτικών συστατικών, όπως αναφέρονται στο </w:t>
      </w:r>
      <w:hyperlink r:id="rId10" w:history="1">
        <w:r w:rsidRPr="0019594D">
          <w:rPr>
            <w:rStyle w:val="Hyperlink"/>
            <w:rFonts w:ascii="Arial" w:hAnsi="Arial" w:cs="Arial"/>
            <w:sz w:val="22"/>
            <w:szCs w:val="22"/>
          </w:rPr>
          <w:t>Παράρτημα Ι</w:t>
        </w:r>
      </w:hyperlink>
      <w:r w:rsidRPr="0019594D">
        <w:rPr>
          <w:rFonts w:ascii="Arial" w:hAnsi="Arial" w:cs="Arial"/>
          <w:sz w:val="22"/>
          <w:szCs w:val="22"/>
        </w:rPr>
        <w:t xml:space="preserve"> της </w:t>
      </w:r>
      <w:r>
        <w:rPr>
          <w:rFonts w:ascii="Arial" w:hAnsi="Arial" w:cs="Arial"/>
          <w:sz w:val="22"/>
          <w:szCs w:val="22"/>
        </w:rPr>
        <w:t>από 2/4 Δ</w:t>
      </w:r>
      <w:r w:rsidRPr="0019594D">
        <w:rPr>
          <w:rFonts w:ascii="Arial" w:hAnsi="Arial" w:cs="Arial"/>
          <w:sz w:val="22"/>
          <w:szCs w:val="22"/>
        </w:rPr>
        <w:t>ιακήρυξης</w:t>
      </w:r>
      <w:r>
        <w:rPr>
          <w:rFonts w:ascii="Arial" w:hAnsi="Arial" w:cs="Arial"/>
          <w:sz w:val="22"/>
          <w:szCs w:val="22"/>
        </w:rPr>
        <w:t xml:space="preserve"> του Λευκού Οίκου</w:t>
      </w:r>
      <w:r w:rsidRPr="0019594D">
        <w:rPr>
          <w:rFonts w:ascii="Arial" w:hAnsi="Arial" w:cs="Arial"/>
          <w:sz w:val="22"/>
          <w:szCs w:val="22"/>
        </w:rPr>
        <w:t xml:space="preserve">, θα υπόκεινται σε συντελεστή δασμού </w:t>
      </w:r>
      <w:r w:rsidRPr="00E26DEA">
        <w:rPr>
          <w:rFonts w:ascii="Arial" w:hAnsi="Arial" w:cs="Arial"/>
          <w:b/>
          <w:sz w:val="22"/>
          <w:szCs w:val="22"/>
        </w:rPr>
        <w:t>100%</w:t>
      </w:r>
      <w:r>
        <w:rPr>
          <w:rFonts w:ascii="Arial" w:hAnsi="Arial" w:cs="Arial"/>
          <w:sz w:val="22"/>
          <w:szCs w:val="22"/>
        </w:rPr>
        <w:t xml:space="preserve"> επί της αξίας</w:t>
      </w:r>
      <w:r w:rsidRPr="0019594D">
        <w:rPr>
          <w:rFonts w:ascii="Arial" w:hAnsi="Arial" w:cs="Arial"/>
          <w:sz w:val="22"/>
          <w:szCs w:val="22"/>
        </w:rPr>
        <w:t>.</w:t>
      </w:r>
      <w:r>
        <w:rPr>
          <w:rFonts w:ascii="Arial" w:hAnsi="Arial" w:cs="Arial"/>
          <w:sz w:val="22"/>
          <w:szCs w:val="22"/>
        </w:rPr>
        <w:t xml:space="preserve"> </w:t>
      </w:r>
    </w:p>
    <w:p w14:paraId="1E1A2F56" w14:textId="508FD86C" w:rsidR="0019594D" w:rsidRDefault="00E26DEA" w:rsidP="00F42E53">
      <w:pPr>
        <w:tabs>
          <w:tab w:val="center" w:pos="5400"/>
        </w:tabs>
        <w:spacing w:after="240"/>
        <w:ind w:left="270"/>
        <w:jc w:val="both"/>
        <w:rPr>
          <w:rFonts w:ascii="Arial" w:hAnsi="Arial" w:cs="Arial"/>
          <w:sz w:val="22"/>
          <w:szCs w:val="22"/>
        </w:rPr>
      </w:pPr>
      <w:r>
        <w:rPr>
          <w:rFonts w:ascii="Arial" w:hAnsi="Arial" w:cs="Arial"/>
          <w:sz w:val="22"/>
          <w:szCs w:val="22"/>
        </w:rPr>
        <w:t>β.</w:t>
      </w:r>
      <w:r w:rsidR="0019594D" w:rsidRPr="0019594D">
        <w:rPr>
          <w:rFonts w:ascii="Arial" w:hAnsi="Arial" w:cs="Arial"/>
          <w:sz w:val="22"/>
          <w:szCs w:val="22"/>
        </w:rPr>
        <w:t xml:space="preserve"> Ο συντελεστής δασμού κατ' αξίαν για τα κατοχυρωμένα με δίπλωμα ευρεσιτεχνίας φαρμακευτικά προϊόντα και τα συναφή φαρμακευτικά συστατικά, όπως αναφέρονται στο Παράρτημα Ι, </w:t>
      </w:r>
      <w:r w:rsidR="0019594D">
        <w:rPr>
          <w:rFonts w:ascii="Arial" w:hAnsi="Arial" w:cs="Arial"/>
          <w:sz w:val="22"/>
          <w:szCs w:val="22"/>
        </w:rPr>
        <w:t xml:space="preserve">καθορίζεται σε </w:t>
      </w:r>
      <w:r w:rsidR="0019594D" w:rsidRPr="00E26DEA">
        <w:rPr>
          <w:rFonts w:ascii="Arial" w:hAnsi="Arial" w:cs="Arial"/>
          <w:b/>
          <w:sz w:val="22"/>
          <w:szCs w:val="22"/>
        </w:rPr>
        <w:t>20%</w:t>
      </w:r>
      <w:r w:rsidR="0019594D" w:rsidRPr="0019594D">
        <w:rPr>
          <w:rFonts w:ascii="Arial" w:hAnsi="Arial" w:cs="Arial"/>
          <w:sz w:val="22"/>
          <w:szCs w:val="22"/>
        </w:rPr>
        <w:t xml:space="preserve"> για προϊόντα εταιρειών που έχουν ή που ο </w:t>
      </w:r>
      <w:r w:rsidR="0019594D">
        <w:rPr>
          <w:rFonts w:ascii="Arial" w:hAnsi="Arial" w:cs="Arial"/>
          <w:sz w:val="22"/>
          <w:szCs w:val="22"/>
        </w:rPr>
        <w:t>Υπουργός</w:t>
      </w:r>
      <w:r w:rsidR="0019594D" w:rsidRPr="0019594D">
        <w:rPr>
          <w:rFonts w:ascii="Arial" w:hAnsi="Arial" w:cs="Arial"/>
          <w:sz w:val="22"/>
          <w:szCs w:val="22"/>
        </w:rPr>
        <w:t xml:space="preserve"> εκτιμά ότι είναι πιθανό σύντομα να έχουν (π.χ., βάσει κατ' αρχήν συμφωνιών), σχέδια </w:t>
      </w:r>
      <w:r w:rsidR="0019594D">
        <w:rPr>
          <w:rFonts w:ascii="Arial" w:hAnsi="Arial" w:cs="Arial"/>
          <w:sz w:val="22"/>
          <w:szCs w:val="22"/>
        </w:rPr>
        <w:t>υλοποίησης παραγωγικών επενδύσεων στις ΗΠΑ (</w:t>
      </w:r>
      <w:proofErr w:type="spellStart"/>
      <w:r w:rsidR="0019594D" w:rsidRPr="0019594D">
        <w:rPr>
          <w:rFonts w:ascii="Arial" w:hAnsi="Arial" w:cs="Arial"/>
          <w:sz w:val="22"/>
          <w:szCs w:val="22"/>
        </w:rPr>
        <w:t>onshoring</w:t>
      </w:r>
      <w:proofErr w:type="spellEnd"/>
      <w:r w:rsidR="0019594D">
        <w:rPr>
          <w:rFonts w:ascii="Arial" w:hAnsi="Arial" w:cs="Arial"/>
          <w:sz w:val="22"/>
          <w:szCs w:val="22"/>
        </w:rPr>
        <w:t>)</w:t>
      </w:r>
      <w:r w:rsidR="0019594D" w:rsidRPr="0019594D">
        <w:rPr>
          <w:rFonts w:ascii="Arial" w:hAnsi="Arial" w:cs="Arial"/>
          <w:sz w:val="22"/>
          <w:szCs w:val="22"/>
        </w:rPr>
        <w:t xml:space="preserve"> εγκεκριμένα από τον</w:t>
      </w:r>
      <w:r w:rsidR="0019594D">
        <w:rPr>
          <w:rFonts w:ascii="Arial" w:hAnsi="Arial" w:cs="Arial"/>
          <w:sz w:val="22"/>
          <w:szCs w:val="22"/>
        </w:rPr>
        <w:t xml:space="preserve"> Υπουργό</w:t>
      </w:r>
      <w:r w:rsidR="0019594D" w:rsidRPr="0019594D">
        <w:rPr>
          <w:rFonts w:ascii="Arial" w:hAnsi="Arial" w:cs="Arial"/>
          <w:sz w:val="22"/>
          <w:szCs w:val="22"/>
        </w:rPr>
        <w:t xml:space="preserve">. Ο προαναφερθείς συντελεστής </w:t>
      </w:r>
      <w:r w:rsidR="0019594D" w:rsidRPr="00E26DEA">
        <w:rPr>
          <w:rFonts w:ascii="Arial" w:hAnsi="Arial" w:cs="Arial"/>
          <w:b/>
          <w:sz w:val="22"/>
          <w:szCs w:val="22"/>
        </w:rPr>
        <w:t>20%</w:t>
      </w:r>
      <w:r w:rsidR="0019594D" w:rsidRPr="0019594D">
        <w:rPr>
          <w:rFonts w:ascii="Arial" w:hAnsi="Arial" w:cs="Arial"/>
          <w:sz w:val="22"/>
          <w:szCs w:val="22"/>
        </w:rPr>
        <w:t xml:space="preserve"> θα αυξηθεί σε </w:t>
      </w:r>
      <w:r w:rsidR="0019594D" w:rsidRPr="00E26DEA">
        <w:rPr>
          <w:rFonts w:ascii="Arial" w:hAnsi="Arial" w:cs="Arial"/>
          <w:b/>
          <w:sz w:val="22"/>
          <w:szCs w:val="22"/>
        </w:rPr>
        <w:t>100%</w:t>
      </w:r>
      <w:r w:rsidR="0019594D" w:rsidRPr="0019594D">
        <w:rPr>
          <w:rFonts w:ascii="Arial" w:hAnsi="Arial" w:cs="Arial"/>
          <w:sz w:val="22"/>
          <w:szCs w:val="22"/>
        </w:rPr>
        <w:t xml:space="preserve"> στις 2 Απριλίου 2030.</w:t>
      </w:r>
    </w:p>
    <w:p w14:paraId="396E74C9" w14:textId="483C1616" w:rsidR="00E26DEA" w:rsidRDefault="00E26DEA" w:rsidP="00F42E53">
      <w:pPr>
        <w:tabs>
          <w:tab w:val="center" w:pos="5400"/>
        </w:tabs>
        <w:spacing w:after="240"/>
        <w:ind w:left="270"/>
        <w:jc w:val="both"/>
        <w:rPr>
          <w:rFonts w:ascii="Arial" w:hAnsi="Arial" w:cs="Arial"/>
          <w:sz w:val="22"/>
          <w:szCs w:val="22"/>
        </w:rPr>
      </w:pPr>
      <w:r>
        <w:rPr>
          <w:rFonts w:ascii="Arial" w:hAnsi="Arial" w:cs="Arial"/>
          <w:sz w:val="22"/>
          <w:szCs w:val="22"/>
        </w:rPr>
        <w:t xml:space="preserve">γ. </w:t>
      </w:r>
      <w:r w:rsidRPr="00E26DEA">
        <w:rPr>
          <w:rFonts w:ascii="Arial" w:hAnsi="Arial" w:cs="Arial"/>
          <w:sz w:val="22"/>
          <w:szCs w:val="22"/>
        </w:rPr>
        <w:t xml:space="preserve">Ο συντελεστής δασμού </w:t>
      </w:r>
      <w:r>
        <w:rPr>
          <w:rFonts w:ascii="Arial" w:hAnsi="Arial" w:cs="Arial"/>
          <w:sz w:val="22"/>
          <w:szCs w:val="22"/>
        </w:rPr>
        <w:t>κατ’ αξίαν</w:t>
      </w:r>
      <w:r w:rsidRPr="00E26DEA">
        <w:rPr>
          <w:rFonts w:ascii="Arial" w:hAnsi="Arial" w:cs="Arial"/>
          <w:sz w:val="22"/>
          <w:szCs w:val="22"/>
        </w:rPr>
        <w:t xml:space="preserve"> για τα κατοχυρωμένα με δίπλωμα ευρεσιτεχνίας φαρμακευτικά προϊόντα και τα συναφή φαρμακευτικά συστατικά, όπως παρατίθενται στο Παράρτημα Ι, θα είναι </w:t>
      </w:r>
      <w:r w:rsidRPr="00E26DEA">
        <w:rPr>
          <w:rFonts w:ascii="Arial" w:hAnsi="Arial" w:cs="Arial"/>
          <w:b/>
          <w:sz w:val="22"/>
          <w:szCs w:val="22"/>
        </w:rPr>
        <w:t>15%</w:t>
      </w:r>
      <w:r w:rsidRPr="00E26DEA">
        <w:rPr>
          <w:rFonts w:ascii="Arial" w:hAnsi="Arial" w:cs="Arial"/>
          <w:sz w:val="22"/>
          <w:szCs w:val="22"/>
        </w:rPr>
        <w:t xml:space="preserve"> για τα προϊόντα της Ιαπωνίας, της </w:t>
      </w:r>
      <w:r w:rsidRPr="00E26DEA">
        <w:rPr>
          <w:rFonts w:ascii="Arial" w:hAnsi="Arial" w:cs="Arial"/>
          <w:b/>
          <w:sz w:val="22"/>
          <w:szCs w:val="22"/>
        </w:rPr>
        <w:t>Ευρωπαϊκής Ένωσης</w:t>
      </w:r>
      <w:r w:rsidRPr="00E26DEA">
        <w:rPr>
          <w:rFonts w:ascii="Arial" w:hAnsi="Arial" w:cs="Arial"/>
          <w:sz w:val="22"/>
          <w:szCs w:val="22"/>
        </w:rPr>
        <w:t xml:space="preserve">, της Δημοκρατίας της Κορέας και της Ελβετίας και του Λιχτενστάιν από κοινού, εκτός εάν εφαρμόζεται χαμηλότερος συντελεστής βάσει της παραγράφου 3 της παρούσας διακήρυξης. Ο δασμολογικός συντελεστής για τα κατοχυρωμένα με δίπλωμα ευρεσιτεχνίας φαρμακευτικά προϊόντα και τα συναφή φαρμακευτικά συστατικά για προϊόντα του </w:t>
      </w:r>
      <w:r w:rsidRPr="00E26DEA">
        <w:rPr>
          <w:rFonts w:ascii="Arial" w:hAnsi="Arial" w:cs="Arial"/>
          <w:b/>
          <w:sz w:val="22"/>
          <w:szCs w:val="22"/>
        </w:rPr>
        <w:t>Ηνωμένου Βασιλείου</w:t>
      </w:r>
      <w:r w:rsidRPr="00E26DEA">
        <w:rPr>
          <w:rFonts w:ascii="Arial" w:hAnsi="Arial" w:cs="Arial"/>
          <w:sz w:val="22"/>
          <w:szCs w:val="22"/>
        </w:rPr>
        <w:t xml:space="preserve"> θα είναι </w:t>
      </w:r>
      <w:r w:rsidRPr="00E26DEA">
        <w:rPr>
          <w:rFonts w:ascii="Arial" w:hAnsi="Arial" w:cs="Arial"/>
          <w:b/>
          <w:sz w:val="22"/>
          <w:szCs w:val="22"/>
        </w:rPr>
        <w:t>10%</w:t>
      </w:r>
      <w:r w:rsidRPr="00E26DEA">
        <w:rPr>
          <w:rFonts w:ascii="Arial" w:hAnsi="Arial" w:cs="Arial"/>
          <w:sz w:val="22"/>
          <w:szCs w:val="22"/>
        </w:rPr>
        <w:t xml:space="preserve"> και </w:t>
      </w:r>
      <w:r>
        <w:rPr>
          <w:rFonts w:ascii="Arial" w:hAnsi="Arial" w:cs="Arial"/>
          <w:sz w:val="22"/>
          <w:szCs w:val="22"/>
        </w:rPr>
        <w:t>εν συνεχεία</w:t>
      </w:r>
      <w:r w:rsidRPr="00E26DEA">
        <w:rPr>
          <w:rFonts w:ascii="Arial" w:hAnsi="Arial" w:cs="Arial"/>
          <w:sz w:val="22"/>
          <w:szCs w:val="22"/>
        </w:rPr>
        <w:t xml:space="preserve"> θα μειωθεί </w:t>
      </w:r>
      <w:r>
        <w:rPr>
          <w:rFonts w:ascii="Arial" w:hAnsi="Arial" w:cs="Arial"/>
          <w:sz w:val="22"/>
          <w:szCs w:val="22"/>
        </w:rPr>
        <w:t xml:space="preserve">σε </w:t>
      </w:r>
      <w:r w:rsidRPr="00E26DEA">
        <w:rPr>
          <w:rFonts w:ascii="Arial" w:hAnsi="Arial" w:cs="Arial"/>
          <w:b/>
          <w:sz w:val="22"/>
          <w:szCs w:val="22"/>
        </w:rPr>
        <w:t>0%</w:t>
      </w:r>
      <w:r w:rsidRPr="00E26DEA">
        <w:rPr>
          <w:rFonts w:ascii="Arial" w:hAnsi="Arial" w:cs="Arial"/>
          <w:sz w:val="22"/>
          <w:szCs w:val="22"/>
        </w:rPr>
        <w:t xml:space="preserve"> </w:t>
      </w:r>
      <w:r w:rsidRPr="00E26DEA">
        <w:rPr>
          <w:rFonts w:ascii="Arial" w:hAnsi="Arial" w:cs="Arial"/>
          <w:sz w:val="22"/>
          <w:szCs w:val="22"/>
        </w:rPr>
        <w:lastRenderedPageBreak/>
        <w:t>στο</w:t>
      </w:r>
      <w:r>
        <w:rPr>
          <w:rFonts w:ascii="Arial" w:hAnsi="Arial" w:cs="Arial"/>
          <w:sz w:val="22"/>
          <w:szCs w:val="22"/>
        </w:rPr>
        <w:t>ν</w:t>
      </w:r>
      <w:r w:rsidRPr="00E26DEA">
        <w:rPr>
          <w:rFonts w:ascii="Arial" w:hAnsi="Arial" w:cs="Arial"/>
          <w:sz w:val="22"/>
          <w:szCs w:val="22"/>
        </w:rPr>
        <w:t xml:space="preserve"> βαθμό που απαιτείται από οποιαδήποτε μελλοντική συμφωνία μεταξύ των Ηνωμένων Πολιτειών και του Ηνωμένου Βασιλείου σχετικά με την τιμολόγηση των φαρμακευτικών προϊόντων. Ο Υπουργός θα δημοσιεύσει ανακοίνωση στο Ομοσπονδιακό Μητρώο σε περίπτωση που ο συντελεστής για το Ηνωμένο Βασίλειο μειωθεί στο μηδέν.</w:t>
      </w:r>
      <w:r>
        <w:rPr>
          <w:rFonts w:ascii="Arial" w:hAnsi="Arial" w:cs="Arial"/>
          <w:sz w:val="22"/>
          <w:szCs w:val="22"/>
        </w:rPr>
        <w:t xml:space="preserve"> </w:t>
      </w:r>
    </w:p>
    <w:p w14:paraId="0E0D4E49" w14:textId="77777777" w:rsidR="00F42E53" w:rsidRDefault="00E26DEA" w:rsidP="00F42E53">
      <w:pPr>
        <w:tabs>
          <w:tab w:val="center" w:pos="5400"/>
        </w:tabs>
        <w:spacing w:after="120"/>
        <w:ind w:left="180"/>
        <w:jc w:val="both"/>
        <w:rPr>
          <w:rFonts w:ascii="Arial" w:hAnsi="Arial" w:cs="Arial"/>
          <w:sz w:val="22"/>
          <w:szCs w:val="22"/>
        </w:rPr>
      </w:pPr>
      <w:r>
        <w:rPr>
          <w:rFonts w:ascii="Arial" w:hAnsi="Arial" w:cs="Arial"/>
          <w:sz w:val="22"/>
          <w:szCs w:val="22"/>
        </w:rPr>
        <w:t xml:space="preserve">δ. </w:t>
      </w:r>
      <w:r w:rsidRPr="00E26DEA">
        <w:rPr>
          <w:rFonts w:ascii="Arial" w:hAnsi="Arial" w:cs="Arial"/>
          <w:sz w:val="22"/>
          <w:szCs w:val="22"/>
        </w:rPr>
        <w:t xml:space="preserve">Ο δασμολογικός συντελεστής </w:t>
      </w:r>
      <w:r>
        <w:rPr>
          <w:rFonts w:ascii="Arial" w:hAnsi="Arial" w:cs="Arial"/>
          <w:sz w:val="22"/>
          <w:szCs w:val="22"/>
        </w:rPr>
        <w:t>κατ’ αξίαν</w:t>
      </w:r>
      <w:r w:rsidRPr="00E26DEA">
        <w:rPr>
          <w:rFonts w:ascii="Arial" w:hAnsi="Arial" w:cs="Arial"/>
          <w:sz w:val="22"/>
          <w:szCs w:val="22"/>
        </w:rPr>
        <w:t xml:space="preserve"> θα είναι μηδενικός για </w:t>
      </w:r>
      <w:r>
        <w:rPr>
          <w:rFonts w:ascii="Arial" w:hAnsi="Arial" w:cs="Arial"/>
          <w:sz w:val="22"/>
          <w:szCs w:val="22"/>
        </w:rPr>
        <w:t>τις εξής κατηγορίες</w:t>
      </w:r>
      <w:r w:rsidRPr="00E26DEA">
        <w:rPr>
          <w:rFonts w:ascii="Arial" w:hAnsi="Arial" w:cs="Arial"/>
          <w:sz w:val="22"/>
          <w:szCs w:val="22"/>
        </w:rPr>
        <w:t xml:space="preserve">: </w:t>
      </w:r>
    </w:p>
    <w:p w14:paraId="4C8B6191" w14:textId="690CEDA4" w:rsidR="00E26DEA" w:rsidRDefault="00E26DEA" w:rsidP="00F42E53">
      <w:pPr>
        <w:tabs>
          <w:tab w:val="center" w:pos="5400"/>
        </w:tabs>
        <w:spacing w:after="120"/>
        <w:ind w:left="720" w:hanging="270"/>
        <w:jc w:val="both"/>
        <w:rPr>
          <w:rFonts w:ascii="Arial" w:hAnsi="Arial" w:cs="Arial"/>
          <w:sz w:val="22"/>
          <w:szCs w:val="22"/>
        </w:rPr>
      </w:pPr>
      <w:r w:rsidRPr="00E26DEA">
        <w:rPr>
          <w:rFonts w:ascii="Arial" w:hAnsi="Arial" w:cs="Arial"/>
          <w:sz w:val="22"/>
          <w:szCs w:val="22"/>
        </w:rPr>
        <w:t xml:space="preserve">- </w:t>
      </w:r>
      <w:r w:rsidR="00F42E53">
        <w:rPr>
          <w:rFonts w:ascii="Arial" w:hAnsi="Arial" w:cs="Arial"/>
          <w:sz w:val="22"/>
          <w:szCs w:val="22"/>
        </w:rPr>
        <w:tab/>
      </w:r>
      <w:r w:rsidRPr="00E26DEA">
        <w:rPr>
          <w:rFonts w:ascii="Arial" w:hAnsi="Arial" w:cs="Arial"/>
          <w:sz w:val="22"/>
          <w:szCs w:val="22"/>
        </w:rPr>
        <w:t xml:space="preserve">φάρμακα και συναφή συστατικά, όπου όλες οι εγκεκριμένες ενδείξεις χαρακτηρίζονται ως ορφανά σύμφωνα με τον Νόμο περί Ορφανών Φαρμάκων, 21 U.S.C. 360aa </w:t>
      </w:r>
      <w:r>
        <w:rPr>
          <w:rFonts w:ascii="Arial" w:hAnsi="Arial" w:cs="Arial"/>
          <w:sz w:val="22"/>
          <w:szCs w:val="22"/>
        </w:rPr>
        <w:t xml:space="preserve">κι </w:t>
      </w:r>
      <w:proofErr w:type="spellStart"/>
      <w:r>
        <w:rPr>
          <w:rFonts w:ascii="Arial" w:hAnsi="Arial" w:cs="Arial"/>
          <w:sz w:val="22"/>
          <w:szCs w:val="22"/>
        </w:rPr>
        <w:t>επ</w:t>
      </w:r>
      <w:proofErr w:type="spellEnd"/>
      <w:r>
        <w:rPr>
          <w:rFonts w:ascii="Arial" w:hAnsi="Arial" w:cs="Arial"/>
          <w:sz w:val="22"/>
          <w:szCs w:val="22"/>
        </w:rPr>
        <w:t>.</w:t>
      </w:r>
      <w:r w:rsidRPr="00E26DEA">
        <w:rPr>
          <w:rFonts w:ascii="Arial" w:hAnsi="Arial" w:cs="Arial"/>
          <w:sz w:val="22"/>
          <w:szCs w:val="22"/>
        </w:rPr>
        <w:t>., και τους εκτελεστικούς κανονισμούς του</w:t>
      </w:r>
    </w:p>
    <w:p w14:paraId="7F87E864" w14:textId="3005A49D" w:rsidR="00E26DEA" w:rsidRDefault="00E26DEA" w:rsidP="00F42E53">
      <w:pPr>
        <w:tabs>
          <w:tab w:val="center" w:pos="5400"/>
        </w:tabs>
        <w:spacing w:after="120"/>
        <w:ind w:left="720" w:hanging="270"/>
        <w:jc w:val="both"/>
        <w:rPr>
          <w:rFonts w:ascii="Arial" w:hAnsi="Arial" w:cs="Arial"/>
          <w:sz w:val="22"/>
          <w:szCs w:val="22"/>
        </w:rPr>
      </w:pPr>
      <w:r w:rsidRPr="00E26DEA">
        <w:rPr>
          <w:rFonts w:ascii="Arial" w:hAnsi="Arial" w:cs="Arial"/>
          <w:sz w:val="22"/>
          <w:szCs w:val="22"/>
        </w:rPr>
        <w:t xml:space="preserve">- </w:t>
      </w:r>
      <w:r w:rsidR="00F42E53">
        <w:rPr>
          <w:rFonts w:ascii="Arial" w:hAnsi="Arial" w:cs="Arial"/>
          <w:sz w:val="22"/>
          <w:szCs w:val="22"/>
        </w:rPr>
        <w:tab/>
      </w:r>
      <w:r w:rsidRPr="00E26DEA">
        <w:rPr>
          <w:rFonts w:ascii="Arial" w:hAnsi="Arial" w:cs="Arial"/>
          <w:sz w:val="22"/>
          <w:szCs w:val="22"/>
        </w:rPr>
        <w:t>πυρηνικά φάρμακα</w:t>
      </w:r>
    </w:p>
    <w:p w14:paraId="5C51ED92" w14:textId="6388F46C" w:rsidR="00E26DEA" w:rsidRDefault="00E26DEA" w:rsidP="00F42E53">
      <w:pPr>
        <w:tabs>
          <w:tab w:val="center" w:pos="5400"/>
        </w:tabs>
        <w:spacing w:after="120"/>
        <w:ind w:left="720" w:hanging="270"/>
        <w:jc w:val="both"/>
        <w:rPr>
          <w:rFonts w:ascii="Arial" w:hAnsi="Arial" w:cs="Arial"/>
          <w:sz w:val="22"/>
          <w:szCs w:val="22"/>
        </w:rPr>
      </w:pPr>
      <w:r w:rsidRPr="00E26DEA">
        <w:rPr>
          <w:rFonts w:ascii="Arial" w:hAnsi="Arial" w:cs="Arial"/>
          <w:sz w:val="22"/>
          <w:szCs w:val="22"/>
        </w:rPr>
        <w:t xml:space="preserve">- </w:t>
      </w:r>
      <w:r w:rsidR="00F42E53">
        <w:rPr>
          <w:rFonts w:ascii="Arial" w:hAnsi="Arial" w:cs="Arial"/>
          <w:sz w:val="22"/>
          <w:szCs w:val="22"/>
        </w:rPr>
        <w:tab/>
      </w:r>
      <w:r w:rsidRPr="00E26DEA">
        <w:rPr>
          <w:rFonts w:ascii="Arial" w:hAnsi="Arial" w:cs="Arial"/>
          <w:sz w:val="22"/>
          <w:szCs w:val="22"/>
        </w:rPr>
        <w:t>θεραπείες που προέρχονται από πλάσμα</w:t>
      </w:r>
    </w:p>
    <w:p w14:paraId="0F33F271" w14:textId="1815C7D3" w:rsidR="00E26DEA" w:rsidRDefault="00E26DEA" w:rsidP="00F42E53">
      <w:pPr>
        <w:tabs>
          <w:tab w:val="center" w:pos="5400"/>
        </w:tabs>
        <w:spacing w:after="120"/>
        <w:ind w:left="720" w:hanging="270"/>
        <w:jc w:val="both"/>
        <w:rPr>
          <w:rFonts w:ascii="Arial" w:hAnsi="Arial" w:cs="Arial"/>
          <w:sz w:val="22"/>
          <w:szCs w:val="22"/>
        </w:rPr>
      </w:pPr>
      <w:r w:rsidRPr="00E26DEA">
        <w:rPr>
          <w:rFonts w:ascii="Arial" w:hAnsi="Arial" w:cs="Arial"/>
          <w:sz w:val="22"/>
          <w:szCs w:val="22"/>
        </w:rPr>
        <w:t xml:space="preserve">- </w:t>
      </w:r>
      <w:r w:rsidR="00F42E53">
        <w:rPr>
          <w:rFonts w:ascii="Arial" w:hAnsi="Arial" w:cs="Arial"/>
          <w:sz w:val="22"/>
          <w:szCs w:val="22"/>
        </w:rPr>
        <w:tab/>
      </w:r>
      <w:r w:rsidRPr="00E26DEA">
        <w:rPr>
          <w:rFonts w:ascii="Arial" w:hAnsi="Arial" w:cs="Arial"/>
          <w:sz w:val="22"/>
          <w:szCs w:val="22"/>
        </w:rPr>
        <w:t>θεραπείες γονιμότητας</w:t>
      </w:r>
    </w:p>
    <w:p w14:paraId="275928FA" w14:textId="169FB568" w:rsidR="00E26DEA" w:rsidRDefault="00E26DEA" w:rsidP="00F42E53">
      <w:pPr>
        <w:tabs>
          <w:tab w:val="center" w:pos="5400"/>
        </w:tabs>
        <w:spacing w:after="120"/>
        <w:ind w:left="720" w:hanging="270"/>
        <w:jc w:val="both"/>
        <w:rPr>
          <w:rFonts w:ascii="Arial" w:hAnsi="Arial" w:cs="Arial"/>
          <w:sz w:val="22"/>
          <w:szCs w:val="22"/>
        </w:rPr>
      </w:pPr>
      <w:r w:rsidRPr="00E26DEA">
        <w:rPr>
          <w:rFonts w:ascii="Arial" w:hAnsi="Arial" w:cs="Arial"/>
          <w:sz w:val="22"/>
          <w:szCs w:val="22"/>
        </w:rPr>
        <w:t xml:space="preserve">- </w:t>
      </w:r>
      <w:r w:rsidR="00F42E53">
        <w:rPr>
          <w:rFonts w:ascii="Arial" w:hAnsi="Arial" w:cs="Arial"/>
          <w:sz w:val="22"/>
          <w:szCs w:val="22"/>
        </w:rPr>
        <w:tab/>
      </w:r>
      <w:r w:rsidRPr="00E26DEA">
        <w:rPr>
          <w:rFonts w:ascii="Arial" w:hAnsi="Arial" w:cs="Arial"/>
          <w:sz w:val="22"/>
          <w:szCs w:val="22"/>
        </w:rPr>
        <w:t>κυτταρικές και γονιδιακές θεραπείες</w:t>
      </w:r>
    </w:p>
    <w:p w14:paraId="1AEFB0F6" w14:textId="07FF22C3" w:rsidR="00E26DEA" w:rsidRDefault="00E26DEA" w:rsidP="00F42E53">
      <w:pPr>
        <w:tabs>
          <w:tab w:val="center" w:pos="5400"/>
        </w:tabs>
        <w:spacing w:after="120"/>
        <w:ind w:left="720" w:hanging="270"/>
        <w:jc w:val="both"/>
        <w:rPr>
          <w:rFonts w:ascii="Arial" w:hAnsi="Arial" w:cs="Arial"/>
          <w:sz w:val="22"/>
          <w:szCs w:val="22"/>
        </w:rPr>
      </w:pPr>
      <w:r w:rsidRPr="00E26DEA">
        <w:rPr>
          <w:rFonts w:ascii="Arial" w:hAnsi="Arial" w:cs="Arial"/>
          <w:sz w:val="22"/>
          <w:szCs w:val="22"/>
        </w:rPr>
        <w:t xml:space="preserve">- </w:t>
      </w:r>
      <w:r w:rsidR="00F42E53">
        <w:rPr>
          <w:rFonts w:ascii="Arial" w:hAnsi="Arial" w:cs="Arial"/>
          <w:sz w:val="22"/>
          <w:szCs w:val="22"/>
        </w:rPr>
        <w:tab/>
      </w:r>
      <w:r w:rsidRPr="00E26DEA">
        <w:rPr>
          <w:rFonts w:ascii="Arial" w:hAnsi="Arial" w:cs="Arial"/>
          <w:sz w:val="22"/>
          <w:szCs w:val="22"/>
        </w:rPr>
        <w:t>συζεύγματα φαρμάκων με αντισώματα</w:t>
      </w:r>
    </w:p>
    <w:p w14:paraId="195FD945" w14:textId="61E54D5B" w:rsidR="00E26DEA" w:rsidRDefault="00E26DEA" w:rsidP="00F42E53">
      <w:pPr>
        <w:tabs>
          <w:tab w:val="center" w:pos="5400"/>
        </w:tabs>
        <w:spacing w:after="120"/>
        <w:ind w:left="720" w:hanging="270"/>
        <w:jc w:val="both"/>
        <w:rPr>
          <w:rFonts w:ascii="Arial" w:hAnsi="Arial" w:cs="Arial"/>
          <w:sz w:val="22"/>
          <w:szCs w:val="22"/>
        </w:rPr>
      </w:pPr>
      <w:r w:rsidRPr="00E26DEA">
        <w:rPr>
          <w:rFonts w:ascii="Arial" w:hAnsi="Arial" w:cs="Arial"/>
          <w:sz w:val="22"/>
          <w:szCs w:val="22"/>
        </w:rPr>
        <w:t xml:space="preserve">- </w:t>
      </w:r>
      <w:r w:rsidR="00F42E53">
        <w:rPr>
          <w:rFonts w:ascii="Arial" w:hAnsi="Arial" w:cs="Arial"/>
          <w:sz w:val="22"/>
          <w:szCs w:val="22"/>
        </w:rPr>
        <w:tab/>
      </w:r>
      <w:r w:rsidRPr="00E26DEA">
        <w:rPr>
          <w:rFonts w:ascii="Arial" w:hAnsi="Arial" w:cs="Arial"/>
          <w:sz w:val="22"/>
          <w:szCs w:val="22"/>
        </w:rPr>
        <w:t>ιατρικά αντίμετρα που σχετίζονται με χημικές, βιολογικές, ραδιολογικές και πυρηνικές απειλές</w:t>
      </w:r>
    </w:p>
    <w:p w14:paraId="1992C7AD" w14:textId="1FDA2B92" w:rsidR="00F42E53" w:rsidRDefault="00E26DEA" w:rsidP="00F42E53">
      <w:pPr>
        <w:tabs>
          <w:tab w:val="center" w:pos="5400"/>
        </w:tabs>
        <w:spacing w:after="120"/>
        <w:ind w:left="720" w:hanging="270"/>
        <w:jc w:val="both"/>
        <w:rPr>
          <w:rFonts w:ascii="Arial" w:hAnsi="Arial" w:cs="Arial"/>
          <w:sz w:val="22"/>
          <w:szCs w:val="22"/>
        </w:rPr>
      </w:pPr>
      <w:r w:rsidRPr="00E26DEA">
        <w:rPr>
          <w:rFonts w:ascii="Arial" w:hAnsi="Arial" w:cs="Arial"/>
          <w:sz w:val="22"/>
          <w:szCs w:val="22"/>
        </w:rPr>
        <w:t xml:space="preserve">- </w:t>
      </w:r>
      <w:r w:rsidR="00F42E53">
        <w:rPr>
          <w:rFonts w:ascii="Arial" w:hAnsi="Arial" w:cs="Arial"/>
          <w:sz w:val="22"/>
          <w:szCs w:val="22"/>
        </w:rPr>
        <w:tab/>
      </w:r>
      <w:r w:rsidRPr="00E26DEA">
        <w:rPr>
          <w:rFonts w:ascii="Arial" w:hAnsi="Arial" w:cs="Arial"/>
          <w:sz w:val="22"/>
          <w:szCs w:val="22"/>
        </w:rPr>
        <w:t xml:space="preserve">άλλα εξειδικευμένα φαρμακευτικά προϊόντα που θα </w:t>
      </w:r>
      <w:proofErr w:type="spellStart"/>
      <w:r w:rsidRPr="00E26DEA">
        <w:rPr>
          <w:rFonts w:ascii="Arial" w:hAnsi="Arial" w:cs="Arial"/>
          <w:sz w:val="22"/>
          <w:szCs w:val="22"/>
        </w:rPr>
        <w:t>προσδιορισ</w:t>
      </w:r>
      <w:proofErr w:type="spellEnd"/>
      <w:r>
        <w:rPr>
          <w:rFonts w:ascii="Arial" w:hAnsi="Arial" w:cs="Arial"/>
          <w:sz w:val="22"/>
          <w:szCs w:val="22"/>
          <w:lang w:val="en-US"/>
        </w:rPr>
        <w:t>u</w:t>
      </w:r>
      <w:proofErr w:type="spellStart"/>
      <w:r w:rsidRPr="00E26DEA">
        <w:rPr>
          <w:rFonts w:ascii="Arial" w:hAnsi="Arial" w:cs="Arial"/>
          <w:sz w:val="22"/>
          <w:szCs w:val="22"/>
        </w:rPr>
        <w:t>ούν</w:t>
      </w:r>
      <w:proofErr w:type="spellEnd"/>
      <w:r w:rsidRPr="00E26DEA">
        <w:rPr>
          <w:rFonts w:ascii="Arial" w:hAnsi="Arial" w:cs="Arial"/>
          <w:sz w:val="22"/>
          <w:szCs w:val="22"/>
        </w:rPr>
        <w:t xml:space="preserve"> από τον Υπουργό, καθώς και φαρμακευτικά προϊόντα για την υγεία των ζώων, υπό την προϋπόθεση ότι ο Υπουργός</w:t>
      </w:r>
      <w:r w:rsidR="0003074D">
        <w:rPr>
          <w:rFonts w:ascii="Arial" w:hAnsi="Arial" w:cs="Arial"/>
          <w:sz w:val="22"/>
          <w:szCs w:val="22"/>
        </w:rPr>
        <w:t xml:space="preserve"> Εμπορίου</w:t>
      </w:r>
      <w:r w:rsidRPr="00E26DEA">
        <w:rPr>
          <w:rFonts w:ascii="Arial" w:hAnsi="Arial" w:cs="Arial"/>
          <w:sz w:val="22"/>
          <w:szCs w:val="22"/>
        </w:rPr>
        <w:t xml:space="preserve">, σε συνεννόηση με τον Εμπορικό </w:t>
      </w:r>
      <w:r>
        <w:rPr>
          <w:rFonts w:ascii="Arial" w:hAnsi="Arial" w:cs="Arial"/>
          <w:sz w:val="22"/>
          <w:szCs w:val="22"/>
        </w:rPr>
        <w:t>Αντιπρόσωπο</w:t>
      </w:r>
      <w:r w:rsidRPr="00E26DEA">
        <w:rPr>
          <w:rFonts w:ascii="Arial" w:hAnsi="Arial" w:cs="Arial"/>
          <w:sz w:val="22"/>
          <w:szCs w:val="22"/>
        </w:rPr>
        <w:t xml:space="preserve"> </w:t>
      </w:r>
      <w:r>
        <w:rPr>
          <w:rFonts w:ascii="Arial" w:hAnsi="Arial" w:cs="Arial"/>
          <w:sz w:val="22"/>
          <w:szCs w:val="22"/>
        </w:rPr>
        <w:t>(</w:t>
      </w:r>
      <w:r>
        <w:rPr>
          <w:rFonts w:ascii="Arial" w:hAnsi="Arial" w:cs="Arial"/>
          <w:sz w:val="22"/>
          <w:szCs w:val="22"/>
          <w:lang w:val="en-US"/>
        </w:rPr>
        <w:t>US</w:t>
      </w:r>
      <w:r w:rsidRPr="00E26DEA">
        <w:rPr>
          <w:rFonts w:ascii="Arial" w:hAnsi="Arial" w:cs="Arial"/>
          <w:sz w:val="22"/>
          <w:szCs w:val="22"/>
        </w:rPr>
        <w:t xml:space="preserve"> </w:t>
      </w:r>
      <w:r>
        <w:rPr>
          <w:rFonts w:ascii="Arial" w:hAnsi="Arial" w:cs="Arial"/>
          <w:sz w:val="22"/>
          <w:szCs w:val="22"/>
          <w:lang w:val="en-US"/>
        </w:rPr>
        <w:t>Trade</w:t>
      </w:r>
      <w:r w:rsidRPr="00E26DEA">
        <w:rPr>
          <w:rFonts w:ascii="Arial" w:hAnsi="Arial" w:cs="Arial"/>
          <w:sz w:val="22"/>
          <w:szCs w:val="22"/>
        </w:rPr>
        <w:t xml:space="preserve"> </w:t>
      </w:r>
      <w:r>
        <w:rPr>
          <w:rFonts w:ascii="Arial" w:hAnsi="Arial" w:cs="Arial"/>
          <w:sz w:val="22"/>
          <w:szCs w:val="22"/>
          <w:lang w:val="en-US"/>
        </w:rPr>
        <w:t>Representative</w:t>
      </w:r>
      <w:r w:rsidRPr="00E26DEA">
        <w:rPr>
          <w:rFonts w:ascii="Arial" w:hAnsi="Arial" w:cs="Arial"/>
          <w:sz w:val="22"/>
          <w:szCs w:val="22"/>
        </w:rPr>
        <w:t xml:space="preserve">) των </w:t>
      </w:r>
      <w:r>
        <w:rPr>
          <w:rFonts w:ascii="Arial" w:hAnsi="Arial" w:cs="Arial"/>
          <w:sz w:val="22"/>
          <w:szCs w:val="22"/>
          <w:lang w:val="en-US"/>
        </w:rPr>
        <w:t>HPA</w:t>
      </w:r>
      <w:r w:rsidRPr="00E26DEA">
        <w:rPr>
          <w:rFonts w:ascii="Arial" w:hAnsi="Arial" w:cs="Arial"/>
          <w:sz w:val="22"/>
          <w:szCs w:val="22"/>
        </w:rPr>
        <w:t xml:space="preserve"> </w:t>
      </w:r>
      <w:r>
        <w:rPr>
          <w:rFonts w:ascii="Arial" w:hAnsi="Arial" w:cs="Arial"/>
          <w:sz w:val="22"/>
          <w:szCs w:val="22"/>
        </w:rPr>
        <w:t>κ</w:t>
      </w:r>
      <w:r w:rsidRPr="00E26DEA">
        <w:rPr>
          <w:rFonts w:ascii="Arial" w:hAnsi="Arial" w:cs="Arial"/>
          <w:sz w:val="22"/>
          <w:szCs w:val="22"/>
        </w:rPr>
        <w:t xml:space="preserve">αι τον Υπουργό Υγείας, θα καθορίσει ότι: </w:t>
      </w:r>
    </w:p>
    <w:p w14:paraId="58F1BD40" w14:textId="651CD633" w:rsidR="00F42E53" w:rsidRDefault="00E26DEA" w:rsidP="00F42E53">
      <w:pPr>
        <w:tabs>
          <w:tab w:val="center" w:pos="5400"/>
        </w:tabs>
        <w:spacing w:after="120"/>
        <w:ind w:left="1080" w:hanging="360"/>
        <w:jc w:val="both"/>
        <w:rPr>
          <w:rFonts w:ascii="Arial" w:hAnsi="Arial" w:cs="Arial"/>
          <w:sz w:val="22"/>
          <w:szCs w:val="22"/>
        </w:rPr>
      </w:pPr>
      <w:r w:rsidRPr="00E26DEA">
        <w:rPr>
          <w:rFonts w:ascii="Arial" w:hAnsi="Arial" w:cs="Arial"/>
          <w:sz w:val="22"/>
          <w:szCs w:val="22"/>
        </w:rPr>
        <w:t xml:space="preserve">1) </w:t>
      </w:r>
      <w:r w:rsidR="00F42E53">
        <w:rPr>
          <w:rFonts w:ascii="Arial" w:hAnsi="Arial" w:cs="Arial"/>
          <w:sz w:val="22"/>
          <w:szCs w:val="22"/>
        </w:rPr>
        <w:tab/>
      </w:r>
      <w:r w:rsidRPr="00E26DEA">
        <w:rPr>
          <w:rFonts w:ascii="Arial" w:hAnsi="Arial" w:cs="Arial"/>
          <w:sz w:val="22"/>
          <w:szCs w:val="22"/>
        </w:rPr>
        <w:t xml:space="preserve">πρόκειται για προϊόντα </w:t>
      </w:r>
      <w:r>
        <w:rPr>
          <w:rFonts w:ascii="Arial" w:hAnsi="Arial" w:cs="Arial"/>
          <w:sz w:val="22"/>
          <w:szCs w:val="22"/>
        </w:rPr>
        <w:t xml:space="preserve">χώρας ή </w:t>
      </w:r>
      <w:r w:rsidR="00F42E53">
        <w:rPr>
          <w:rFonts w:ascii="Arial" w:hAnsi="Arial" w:cs="Arial"/>
          <w:sz w:val="22"/>
          <w:szCs w:val="22"/>
        </w:rPr>
        <w:t>γεωγραφικής περιοχής</w:t>
      </w:r>
      <w:r w:rsidRPr="00E26DEA">
        <w:rPr>
          <w:rFonts w:ascii="Arial" w:hAnsi="Arial" w:cs="Arial"/>
          <w:sz w:val="22"/>
          <w:szCs w:val="22"/>
        </w:rPr>
        <w:t xml:space="preserve"> που έχει τρέχουσα ή επικείμενη συμφωνία-πλαίσιο εμπορίου και ασφάλειας</w:t>
      </w:r>
      <w:r w:rsidR="00F42E53">
        <w:rPr>
          <w:rFonts w:ascii="Arial" w:hAnsi="Arial" w:cs="Arial"/>
          <w:sz w:val="22"/>
          <w:szCs w:val="22"/>
        </w:rPr>
        <w:t xml:space="preserve"> με τις ΗΠΑ</w:t>
      </w:r>
      <w:r w:rsidRPr="00E26DEA">
        <w:rPr>
          <w:rFonts w:ascii="Arial" w:hAnsi="Arial" w:cs="Arial"/>
          <w:sz w:val="22"/>
          <w:szCs w:val="22"/>
        </w:rPr>
        <w:t>,</w:t>
      </w:r>
      <w:r w:rsidR="00F42E53">
        <w:rPr>
          <w:rFonts w:ascii="Arial" w:hAnsi="Arial" w:cs="Arial"/>
          <w:sz w:val="22"/>
          <w:szCs w:val="22"/>
        </w:rPr>
        <w:t xml:space="preserve"> </w:t>
      </w:r>
    </w:p>
    <w:p w14:paraId="442830CB" w14:textId="01E0A564" w:rsidR="00E26DEA" w:rsidRDefault="00E26DEA" w:rsidP="00F42E53">
      <w:pPr>
        <w:tabs>
          <w:tab w:val="center" w:pos="5400"/>
        </w:tabs>
        <w:spacing w:after="240"/>
        <w:ind w:left="1080" w:hanging="360"/>
        <w:jc w:val="both"/>
        <w:rPr>
          <w:rFonts w:ascii="Arial" w:hAnsi="Arial" w:cs="Arial"/>
          <w:sz w:val="22"/>
          <w:szCs w:val="22"/>
        </w:rPr>
      </w:pPr>
      <w:r w:rsidRPr="00E26DEA">
        <w:rPr>
          <w:rFonts w:ascii="Arial" w:hAnsi="Arial" w:cs="Arial"/>
          <w:sz w:val="22"/>
          <w:szCs w:val="22"/>
        </w:rPr>
        <w:t xml:space="preserve">2) </w:t>
      </w:r>
      <w:r w:rsidR="00F42E53">
        <w:rPr>
          <w:rFonts w:ascii="Arial" w:hAnsi="Arial" w:cs="Arial"/>
          <w:sz w:val="22"/>
          <w:szCs w:val="22"/>
        </w:rPr>
        <w:tab/>
      </w:r>
      <w:r w:rsidRPr="00E26DEA">
        <w:rPr>
          <w:rFonts w:ascii="Arial" w:hAnsi="Arial" w:cs="Arial"/>
          <w:sz w:val="22"/>
          <w:szCs w:val="22"/>
        </w:rPr>
        <w:t xml:space="preserve">καλύπτουν επείγουσα ανάγκη υγείας των Ηνωμένων Πολιτειών. Ο Υπουργός </w:t>
      </w:r>
      <w:r w:rsidR="0003074D">
        <w:rPr>
          <w:rFonts w:ascii="Arial" w:hAnsi="Arial" w:cs="Arial"/>
          <w:sz w:val="22"/>
          <w:szCs w:val="22"/>
        </w:rPr>
        <w:t xml:space="preserve">Εμπορίου </w:t>
      </w:r>
      <w:bookmarkStart w:id="3" w:name="_GoBack"/>
      <w:bookmarkEnd w:id="3"/>
      <w:r w:rsidRPr="00E26DEA">
        <w:rPr>
          <w:rFonts w:ascii="Arial" w:hAnsi="Arial" w:cs="Arial"/>
          <w:sz w:val="22"/>
          <w:szCs w:val="22"/>
        </w:rPr>
        <w:t>δημοσιεύει ανακοίνωση στο Ομοσπονδιακό Μητρώο κάθε φορά που λαμβάνει τέτοια απόφαση.</w:t>
      </w:r>
      <w:r>
        <w:rPr>
          <w:rFonts w:ascii="Arial" w:hAnsi="Arial" w:cs="Arial"/>
          <w:sz w:val="22"/>
          <w:szCs w:val="22"/>
        </w:rPr>
        <w:t xml:space="preserve"> </w:t>
      </w:r>
    </w:p>
    <w:p w14:paraId="17D1752E" w14:textId="0BFAF9EE" w:rsidR="00F42E53" w:rsidRDefault="00F42E53" w:rsidP="00F42E53">
      <w:pPr>
        <w:tabs>
          <w:tab w:val="center" w:pos="5400"/>
        </w:tabs>
        <w:spacing w:after="120"/>
        <w:ind w:left="180"/>
        <w:jc w:val="both"/>
        <w:rPr>
          <w:rFonts w:ascii="Arial" w:hAnsi="Arial" w:cs="Arial"/>
          <w:sz w:val="22"/>
          <w:szCs w:val="22"/>
        </w:rPr>
      </w:pPr>
      <w:r>
        <w:rPr>
          <w:rFonts w:ascii="Arial" w:hAnsi="Arial" w:cs="Arial"/>
          <w:sz w:val="22"/>
          <w:szCs w:val="22"/>
        </w:rPr>
        <w:t>ε</w:t>
      </w:r>
      <w:r>
        <w:rPr>
          <w:rFonts w:ascii="Arial" w:hAnsi="Arial" w:cs="Arial"/>
          <w:sz w:val="22"/>
          <w:szCs w:val="22"/>
        </w:rPr>
        <w:t xml:space="preserve">. </w:t>
      </w:r>
      <w:r w:rsidRPr="00F42E53">
        <w:rPr>
          <w:rFonts w:ascii="Arial" w:hAnsi="Arial" w:cs="Arial"/>
          <w:sz w:val="22"/>
          <w:szCs w:val="22"/>
        </w:rPr>
        <w:t>Για τις εταιρείες που είναι επιλέξιμες για την δασμολογική μεταχείριση που περιγράφεται στην παράγραφο (</w:t>
      </w:r>
      <w:r>
        <w:rPr>
          <w:rFonts w:ascii="Arial" w:hAnsi="Arial" w:cs="Arial"/>
          <w:sz w:val="22"/>
          <w:szCs w:val="22"/>
        </w:rPr>
        <w:t>1</w:t>
      </w:r>
      <w:r w:rsidRPr="00F42E53">
        <w:rPr>
          <w:rFonts w:ascii="Arial" w:hAnsi="Arial" w:cs="Arial"/>
          <w:sz w:val="22"/>
          <w:szCs w:val="22"/>
        </w:rPr>
        <w:t xml:space="preserve">)(β) της παρούσας </w:t>
      </w:r>
      <w:r>
        <w:rPr>
          <w:rFonts w:ascii="Arial" w:hAnsi="Arial" w:cs="Arial"/>
          <w:sz w:val="22"/>
          <w:szCs w:val="22"/>
        </w:rPr>
        <w:t>Δι</w:t>
      </w:r>
      <w:r w:rsidRPr="00F42E53">
        <w:rPr>
          <w:rFonts w:ascii="Arial" w:hAnsi="Arial" w:cs="Arial"/>
          <w:sz w:val="22"/>
          <w:szCs w:val="22"/>
        </w:rPr>
        <w:t xml:space="preserve">ακήρυξης και οι οποίες έχουν συνάψει συμφωνίες τιμολόγησης φαρμακευτικών προϊόντων με βάση </w:t>
      </w:r>
      <w:r>
        <w:rPr>
          <w:rFonts w:ascii="Arial" w:hAnsi="Arial" w:cs="Arial"/>
          <w:sz w:val="22"/>
          <w:szCs w:val="22"/>
        </w:rPr>
        <w:t xml:space="preserve">την Ρήτρα του Πλέον Ευνοουμένου Κράτους </w:t>
      </w:r>
      <w:r w:rsidRPr="00F42E53">
        <w:rPr>
          <w:rFonts w:ascii="Arial" w:hAnsi="Arial" w:cs="Arial"/>
          <w:sz w:val="22"/>
          <w:szCs w:val="22"/>
        </w:rPr>
        <w:t xml:space="preserve">(MFN) με τον Υπουργό Υγείας, ο ισχύων δασμολογικός συντελεστής </w:t>
      </w:r>
      <w:r>
        <w:rPr>
          <w:rFonts w:ascii="Arial" w:hAnsi="Arial" w:cs="Arial"/>
          <w:sz w:val="22"/>
          <w:szCs w:val="22"/>
        </w:rPr>
        <w:t>κατ’ αξίαν</w:t>
      </w:r>
      <w:r w:rsidRPr="00F42E53">
        <w:rPr>
          <w:rFonts w:ascii="Arial" w:hAnsi="Arial" w:cs="Arial"/>
          <w:sz w:val="22"/>
          <w:szCs w:val="22"/>
        </w:rPr>
        <w:t xml:space="preserve"> για τα φαρμακευτικά προϊόντα και τα συναφή φαρμακευτικά συστατικά θα είναι μηδενικός έως τις 20 Ιανουαρίου 2029. Ο Υπουργός </w:t>
      </w:r>
      <w:r>
        <w:rPr>
          <w:rFonts w:ascii="Arial" w:hAnsi="Arial" w:cs="Arial"/>
          <w:sz w:val="22"/>
          <w:szCs w:val="22"/>
        </w:rPr>
        <w:t xml:space="preserve">Εμπορίου </w:t>
      </w:r>
      <w:r w:rsidRPr="00F42E53">
        <w:rPr>
          <w:rFonts w:ascii="Arial" w:hAnsi="Arial" w:cs="Arial"/>
          <w:sz w:val="22"/>
          <w:szCs w:val="22"/>
        </w:rPr>
        <w:t xml:space="preserve">θα εφαρμόσει αυτόν τον μηδενικό δασμολογικό συντελεστή σε εταιρείες που κρίνει ότι είναι πιθανό να είναι σύντομα επιλέξιμες (π.χ., επειδή έχουν συμφωνίες κατ' αρχήν με τον Υπουργό και τον Υπουργό Υγείας). Για την αποφυγή αμφιβολιών, αυτός ο μηδενικός δασμολογικός συντελεστής θα ισχύει επίσης σύμφωνα με τους όρους των συμφωνιών που αναφέρονται στο Παράρτημα II της παρούσας </w:t>
      </w:r>
      <w:r>
        <w:rPr>
          <w:rFonts w:ascii="Arial" w:hAnsi="Arial" w:cs="Arial"/>
          <w:sz w:val="22"/>
          <w:szCs w:val="22"/>
        </w:rPr>
        <w:t>Δ</w:t>
      </w:r>
      <w:r w:rsidRPr="00F42E53">
        <w:rPr>
          <w:rFonts w:ascii="Arial" w:hAnsi="Arial" w:cs="Arial"/>
          <w:sz w:val="22"/>
          <w:szCs w:val="22"/>
        </w:rPr>
        <w:t>ιακήρυξης.</w:t>
      </w:r>
    </w:p>
    <w:p w14:paraId="3652DEDA" w14:textId="67F8D359" w:rsidR="00F42E53" w:rsidRDefault="00F42E53" w:rsidP="0000633E">
      <w:pPr>
        <w:tabs>
          <w:tab w:val="center" w:pos="5400"/>
        </w:tabs>
        <w:spacing w:after="360"/>
        <w:ind w:left="187"/>
        <w:jc w:val="both"/>
        <w:rPr>
          <w:rFonts w:ascii="Arial" w:hAnsi="Arial" w:cs="Arial"/>
          <w:sz w:val="22"/>
          <w:szCs w:val="22"/>
        </w:rPr>
      </w:pPr>
      <w:proofErr w:type="spellStart"/>
      <w:r>
        <w:rPr>
          <w:rFonts w:ascii="Arial" w:hAnsi="Arial" w:cs="Arial"/>
          <w:sz w:val="22"/>
          <w:szCs w:val="22"/>
        </w:rPr>
        <w:t>στ</w:t>
      </w:r>
      <w:proofErr w:type="spellEnd"/>
      <w:r>
        <w:rPr>
          <w:rFonts w:ascii="Arial" w:hAnsi="Arial" w:cs="Arial"/>
          <w:sz w:val="22"/>
          <w:szCs w:val="22"/>
        </w:rPr>
        <w:t xml:space="preserve">. </w:t>
      </w:r>
      <w:r w:rsidR="0000633E">
        <w:rPr>
          <w:rFonts w:ascii="Arial" w:hAnsi="Arial" w:cs="Arial"/>
          <w:sz w:val="22"/>
          <w:szCs w:val="22"/>
        </w:rPr>
        <w:t>Προβλέπεται η δυνατότητα του Υ</w:t>
      </w:r>
      <w:r w:rsidRPr="00F42E53">
        <w:rPr>
          <w:rFonts w:ascii="Arial" w:hAnsi="Arial" w:cs="Arial"/>
          <w:sz w:val="22"/>
          <w:szCs w:val="22"/>
        </w:rPr>
        <w:t>πουργ</w:t>
      </w:r>
      <w:r w:rsidR="0000633E">
        <w:rPr>
          <w:rFonts w:ascii="Arial" w:hAnsi="Arial" w:cs="Arial"/>
          <w:sz w:val="22"/>
          <w:szCs w:val="22"/>
        </w:rPr>
        <w:t>ού</w:t>
      </w:r>
      <w:r w:rsidRPr="00F42E53">
        <w:rPr>
          <w:rFonts w:ascii="Arial" w:hAnsi="Arial" w:cs="Arial"/>
          <w:sz w:val="22"/>
          <w:szCs w:val="22"/>
        </w:rPr>
        <w:t xml:space="preserve"> </w:t>
      </w:r>
      <w:r>
        <w:rPr>
          <w:rFonts w:ascii="Arial" w:hAnsi="Arial" w:cs="Arial"/>
          <w:sz w:val="22"/>
          <w:szCs w:val="22"/>
        </w:rPr>
        <w:t xml:space="preserve">Εμπορίου </w:t>
      </w:r>
      <w:r w:rsidRPr="00F42E53">
        <w:rPr>
          <w:rFonts w:ascii="Arial" w:hAnsi="Arial" w:cs="Arial"/>
          <w:sz w:val="22"/>
          <w:szCs w:val="22"/>
        </w:rPr>
        <w:t xml:space="preserve">να αυξήσει τους </w:t>
      </w:r>
      <w:r w:rsidR="0000633E">
        <w:rPr>
          <w:rFonts w:ascii="Arial" w:hAnsi="Arial" w:cs="Arial"/>
          <w:sz w:val="22"/>
          <w:szCs w:val="22"/>
        </w:rPr>
        <w:t xml:space="preserve">ανωτέρω </w:t>
      </w:r>
      <w:r w:rsidRPr="00F42E53">
        <w:rPr>
          <w:rFonts w:ascii="Arial" w:hAnsi="Arial" w:cs="Arial"/>
          <w:sz w:val="22"/>
          <w:szCs w:val="22"/>
        </w:rPr>
        <w:t xml:space="preserve">δασμολογικούς συντελεστές </w:t>
      </w:r>
      <w:r w:rsidR="0000633E">
        <w:rPr>
          <w:rFonts w:ascii="Arial" w:hAnsi="Arial" w:cs="Arial"/>
          <w:sz w:val="22"/>
          <w:szCs w:val="22"/>
        </w:rPr>
        <w:t xml:space="preserve">υπό συγκεκριμένες συνθήκες που σχετίζονται με </w:t>
      </w:r>
      <w:r w:rsidRPr="00F42E53">
        <w:rPr>
          <w:rFonts w:ascii="Arial" w:hAnsi="Arial" w:cs="Arial"/>
          <w:sz w:val="22"/>
          <w:szCs w:val="22"/>
        </w:rPr>
        <w:t xml:space="preserve">την αδυναμία των εταιρειών να εκπληρώσουν τις δεσμεύσεις τους βάσει των σχετικών σχεδίων και συμφωνιών. </w:t>
      </w:r>
      <w:r w:rsidR="0000633E">
        <w:rPr>
          <w:rFonts w:ascii="Arial" w:hAnsi="Arial" w:cs="Arial"/>
          <w:sz w:val="22"/>
          <w:szCs w:val="22"/>
        </w:rPr>
        <w:t>Παρομοίως, ο</w:t>
      </w:r>
      <w:r w:rsidRPr="00F42E53">
        <w:rPr>
          <w:rFonts w:ascii="Arial" w:hAnsi="Arial" w:cs="Arial"/>
          <w:sz w:val="22"/>
          <w:szCs w:val="22"/>
        </w:rPr>
        <w:t xml:space="preserve"> Υπουργός</w:t>
      </w:r>
      <w:r w:rsidR="0000633E">
        <w:rPr>
          <w:rFonts w:ascii="Arial" w:hAnsi="Arial" w:cs="Arial"/>
          <w:sz w:val="22"/>
          <w:szCs w:val="22"/>
        </w:rPr>
        <w:t xml:space="preserve"> Εμπορίου</w:t>
      </w:r>
      <w:r w:rsidRPr="00F42E53">
        <w:rPr>
          <w:rFonts w:ascii="Arial" w:hAnsi="Arial" w:cs="Arial"/>
          <w:sz w:val="22"/>
          <w:szCs w:val="22"/>
        </w:rPr>
        <w:t xml:space="preserve">, σε συνεννόηση με τον Εμπορικό </w:t>
      </w:r>
      <w:r w:rsidR="0000633E">
        <w:rPr>
          <w:rFonts w:ascii="Arial" w:hAnsi="Arial" w:cs="Arial"/>
          <w:sz w:val="22"/>
          <w:szCs w:val="22"/>
        </w:rPr>
        <w:t>Αντιπ</w:t>
      </w:r>
      <w:r w:rsidRPr="00F42E53">
        <w:rPr>
          <w:rFonts w:ascii="Arial" w:hAnsi="Arial" w:cs="Arial"/>
          <w:sz w:val="22"/>
          <w:szCs w:val="22"/>
        </w:rPr>
        <w:t xml:space="preserve">ρόσωπο, δύναται να αυξήσει τους δασμολογικούς συντελεστές για να αντιμετωπίσει την αδυναμία ξένων δικαιοδοσιών να εκπληρώσουν τις </w:t>
      </w:r>
      <w:r w:rsidR="0000633E">
        <w:rPr>
          <w:rFonts w:ascii="Arial" w:hAnsi="Arial" w:cs="Arial"/>
          <w:sz w:val="22"/>
          <w:szCs w:val="22"/>
        </w:rPr>
        <w:t xml:space="preserve">ανειλημμένες </w:t>
      </w:r>
      <w:r w:rsidRPr="00F42E53">
        <w:rPr>
          <w:rFonts w:ascii="Arial" w:hAnsi="Arial" w:cs="Arial"/>
          <w:sz w:val="22"/>
          <w:szCs w:val="22"/>
        </w:rPr>
        <w:t xml:space="preserve">δεσμεύσεις τους βάσει </w:t>
      </w:r>
      <w:r w:rsidR="0000633E">
        <w:rPr>
          <w:rFonts w:ascii="Arial" w:hAnsi="Arial" w:cs="Arial"/>
          <w:sz w:val="22"/>
          <w:szCs w:val="22"/>
        </w:rPr>
        <w:t xml:space="preserve">των </w:t>
      </w:r>
      <w:r w:rsidRPr="00F42E53">
        <w:rPr>
          <w:rFonts w:ascii="Arial" w:hAnsi="Arial" w:cs="Arial"/>
          <w:sz w:val="22"/>
          <w:szCs w:val="22"/>
        </w:rPr>
        <w:t xml:space="preserve">συμφωνιών με </w:t>
      </w:r>
      <w:r w:rsidR="0000633E">
        <w:rPr>
          <w:rFonts w:ascii="Arial" w:hAnsi="Arial" w:cs="Arial"/>
          <w:sz w:val="22"/>
          <w:szCs w:val="22"/>
        </w:rPr>
        <w:t>τις ΗΠΑ</w:t>
      </w:r>
      <w:r w:rsidRPr="00F42E53">
        <w:rPr>
          <w:rFonts w:ascii="Arial" w:hAnsi="Arial" w:cs="Arial"/>
          <w:sz w:val="22"/>
          <w:szCs w:val="22"/>
        </w:rPr>
        <w:t>.</w:t>
      </w:r>
    </w:p>
    <w:p w14:paraId="4FD0EF39" w14:textId="11AAAD40" w:rsidR="0000633E" w:rsidRDefault="0000633E" w:rsidP="0003074D">
      <w:pPr>
        <w:tabs>
          <w:tab w:val="center" w:pos="5400"/>
        </w:tabs>
        <w:spacing w:after="360"/>
        <w:ind w:left="270" w:hanging="277"/>
        <w:jc w:val="both"/>
        <w:rPr>
          <w:rFonts w:ascii="Arial" w:hAnsi="Arial" w:cs="Arial"/>
          <w:sz w:val="22"/>
          <w:szCs w:val="22"/>
        </w:rPr>
      </w:pPr>
      <w:r>
        <w:rPr>
          <w:rFonts w:ascii="Arial" w:hAnsi="Arial" w:cs="Arial"/>
          <w:sz w:val="22"/>
          <w:szCs w:val="22"/>
        </w:rPr>
        <w:lastRenderedPageBreak/>
        <w:t xml:space="preserve">2. </w:t>
      </w:r>
      <w:r w:rsidRPr="0000633E">
        <w:rPr>
          <w:rFonts w:ascii="Arial" w:hAnsi="Arial" w:cs="Arial"/>
          <w:sz w:val="22"/>
          <w:szCs w:val="22"/>
        </w:rPr>
        <w:t xml:space="preserve">Τα γενόσημα φαρμακευτικά προϊόντα και τα συναφή συστατικά </w:t>
      </w:r>
      <w:r>
        <w:rPr>
          <w:rFonts w:ascii="Arial" w:hAnsi="Arial" w:cs="Arial"/>
          <w:sz w:val="22"/>
          <w:szCs w:val="22"/>
        </w:rPr>
        <w:t>τους,</w:t>
      </w:r>
      <w:r w:rsidRPr="0000633E">
        <w:rPr>
          <w:rFonts w:ascii="Arial" w:hAnsi="Arial" w:cs="Arial"/>
          <w:sz w:val="22"/>
          <w:szCs w:val="22"/>
        </w:rPr>
        <w:t xml:space="preserve"> </w:t>
      </w:r>
      <w:r>
        <w:rPr>
          <w:rFonts w:ascii="Arial" w:hAnsi="Arial" w:cs="Arial"/>
          <w:sz w:val="22"/>
          <w:szCs w:val="22"/>
        </w:rPr>
        <w:t xml:space="preserve">επί του παρόντος, </w:t>
      </w:r>
      <w:r w:rsidRPr="0000633E">
        <w:rPr>
          <w:rFonts w:ascii="Arial" w:hAnsi="Arial" w:cs="Arial"/>
          <w:sz w:val="22"/>
          <w:szCs w:val="22"/>
        </w:rPr>
        <w:t xml:space="preserve">δεν υπόκεινται σε δασμούς </w:t>
      </w:r>
      <w:r>
        <w:rPr>
          <w:rFonts w:ascii="Arial" w:hAnsi="Arial" w:cs="Arial"/>
          <w:sz w:val="22"/>
          <w:szCs w:val="22"/>
        </w:rPr>
        <w:t xml:space="preserve">βάσει του </w:t>
      </w:r>
      <w:r w:rsidRPr="0000633E">
        <w:rPr>
          <w:rFonts w:ascii="Arial" w:hAnsi="Arial" w:cs="Arial"/>
          <w:sz w:val="22"/>
          <w:szCs w:val="22"/>
        </w:rPr>
        <w:t>άρθρο</w:t>
      </w:r>
      <w:r>
        <w:rPr>
          <w:rFonts w:ascii="Arial" w:hAnsi="Arial" w:cs="Arial"/>
          <w:sz w:val="22"/>
          <w:szCs w:val="22"/>
        </w:rPr>
        <w:t>υ</w:t>
      </w:r>
      <w:r w:rsidRPr="0000633E">
        <w:rPr>
          <w:rFonts w:ascii="Arial" w:hAnsi="Arial" w:cs="Arial"/>
          <w:sz w:val="22"/>
          <w:szCs w:val="22"/>
        </w:rPr>
        <w:t xml:space="preserve"> 232. Εντός 1 έτους από την ημερομηνία της παρούσας διακήρυξης, ο </w:t>
      </w:r>
      <w:r>
        <w:rPr>
          <w:rFonts w:ascii="Arial" w:hAnsi="Arial" w:cs="Arial"/>
          <w:sz w:val="22"/>
          <w:szCs w:val="22"/>
        </w:rPr>
        <w:t>Υπουργός Εμπορίου</w:t>
      </w:r>
      <w:r w:rsidRPr="0000633E">
        <w:rPr>
          <w:rFonts w:ascii="Arial" w:hAnsi="Arial" w:cs="Arial"/>
          <w:sz w:val="22"/>
          <w:szCs w:val="22"/>
        </w:rPr>
        <w:t xml:space="preserve">, σε συνεννόηση με τυχόν ανώτερους αξιωματούχους της εκτελεστικής εξουσίας που κρίνει κατάλληλους, </w:t>
      </w:r>
      <w:r>
        <w:rPr>
          <w:rFonts w:ascii="Arial" w:hAnsi="Arial" w:cs="Arial"/>
          <w:sz w:val="22"/>
          <w:szCs w:val="22"/>
        </w:rPr>
        <w:t xml:space="preserve">θα </w:t>
      </w:r>
      <w:r w:rsidRPr="0000633E">
        <w:rPr>
          <w:rFonts w:ascii="Arial" w:hAnsi="Arial" w:cs="Arial"/>
          <w:sz w:val="22"/>
          <w:szCs w:val="22"/>
        </w:rPr>
        <w:t>ενημερώ</w:t>
      </w:r>
      <w:r>
        <w:rPr>
          <w:rFonts w:ascii="Arial" w:hAnsi="Arial" w:cs="Arial"/>
          <w:sz w:val="22"/>
          <w:szCs w:val="22"/>
        </w:rPr>
        <w:t>σ</w:t>
      </w:r>
      <w:r w:rsidRPr="0000633E">
        <w:rPr>
          <w:rFonts w:ascii="Arial" w:hAnsi="Arial" w:cs="Arial"/>
          <w:sz w:val="22"/>
          <w:szCs w:val="22"/>
        </w:rPr>
        <w:t>ει τον Πρόεδρο για τυχόν περιστάσεις που, κατά τη γνώμη του</w:t>
      </w:r>
      <w:r>
        <w:rPr>
          <w:rFonts w:ascii="Arial" w:hAnsi="Arial" w:cs="Arial"/>
          <w:sz w:val="22"/>
          <w:szCs w:val="22"/>
        </w:rPr>
        <w:t xml:space="preserve"> </w:t>
      </w:r>
      <w:r w:rsidRPr="0000633E">
        <w:rPr>
          <w:rFonts w:ascii="Arial" w:hAnsi="Arial" w:cs="Arial"/>
          <w:sz w:val="22"/>
          <w:szCs w:val="22"/>
        </w:rPr>
        <w:t xml:space="preserve">ενδέχεται να υποδηλώνουν την ανάγκη λήψης μέτρων για την προσαρμογή των εισαγωγών </w:t>
      </w:r>
      <w:proofErr w:type="spellStart"/>
      <w:r w:rsidRPr="0000633E">
        <w:rPr>
          <w:rFonts w:ascii="Arial" w:hAnsi="Arial" w:cs="Arial"/>
          <w:sz w:val="22"/>
          <w:szCs w:val="22"/>
        </w:rPr>
        <w:t>γενόσημων</w:t>
      </w:r>
      <w:proofErr w:type="spellEnd"/>
      <w:r w:rsidRPr="0000633E">
        <w:rPr>
          <w:rFonts w:ascii="Arial" w:hAnsi="Arial" w:cs="Arial"/>
          <w:sz w:val="22"/>
          <w:szCs w:val="22"/>
        </w:rPr>
        <w:t xml:space="preserve"> φαρμακευτικών προϊόντων και των συναφών συστατικών τους.</w:t>
      </w:r>
    </w:p>
    <w:p w14:paraId="135CAB07" w14:textId="7CEDA82C" w:rsidR="0019594D" w:rsidRPr="0019594D" w:rsidRDefault="0000633E" w:rsidP="0003074D">
      <w:pPr>
        <w:tabs>
          <w:tab w:val="center" w:pos="5400"/>
        </w:tabs>
        <w:spacing w:after="360"/>
        <w:ind w:left="274" w:hanging="274"/>
        <w:jc w:val="both"/>
        <w:rPr>
          <w:rFonts w:ascii="Arial" w:hAnsi="Arial" w:cs="Arial"/>
          <w:sz w:val="22"/>
          <w:szCs w:val="22"/>
        </w:rPr>
      </w:pPr>
      <w:r>
        <w:rPr>
          <w:rFonts w:ascii="Arial" w:hAnsi="Arial" w:cs="Arial"/>
          <w:sz w:val="22"/>
          <w:szCs w:val="22"/>
        </w:rPr>
        <w:t xml:space="preserve">3. </w:t>
      </w:r>
      <w:r w:rsidRPr="0000633E">
        <w:rPr>
          <w:rFonts w:ascii="Arial" w:hAnsi="Arial" w:cs="Arial"/>
          <w:sz w:val="22"/>
          <w:szCs w:val="22"/>
        </w:rPr>
        <w:t xml:space="preserve">Εάν ένα προϊόν υπόκειται σε δασμούς βάσει της παρούσας διακήρυξης και της Στήλης 1 του HTSUS (Στήλη 1 Συντελεστής Δασμού), τότε το άθροισμα του πρόσθετου δασμού του άρθρου 232 που επιβάλλεται σύμφωνα με την παρούσα διακήρυξη και του εφαρμοστέου Συντελεστή Δασμού της Στήλης 1 θα ισούται με τον εφαρμοστέο συντελεστή που αναφέρεται στην </w:t>
      </w:r>
      <w:r w:rsidR="008055A2">
        <w:rPr>
          <w:rFonts w:ascii="Arial" w:hAnsi="Arial" w:cs="Arial"/>
          <w:sz w:val="22"/>
          <w:szCs w:val="22"/>
        </w:rPr>
        <w:t>ανωτέρω περίπτωση 1</w:t>
      </w:r>
      <w:r w:rsidRPr="0000633E">
        <w:rPr>
          <w:rFonts w:ascii="Arial" w:hAnsi="Arial" w:cs="Arial"/>
          <w:sz w:val="22"/>
          <w:szCs w:val="22"/>
        </w:rPr>
        <w:t xml:space="preserve">, εκτός εάν ο Συντελεστής Δασμού της Στήλης 1 είναι μεγαλύτερος από τον εφαρμοστέο συντελεστή που αναφέρεται στην </w:t>
      </w:r>
      <w:r w:rsidR="008055A2">
        <w:rPr>
          <w:rFonts w:ascii="Arial" w:hAnsi="Arial" w:cs="Arial"/>
          <w:sz w:val="22"/>
          <w:szCs w:val="22"/>
        </w:rPr>
        <w:t>περίπτωση 1</w:t>
      </w:r>
      <w:r w:rsidRPr="0000633E">
        <w:rPr>
          <w:rFonts w:ascii="Arial" w:hAnsi="Arial" w:cs="Arial"/>
          <w:sz w:val="22"/>
          <w:szCs w:val="22"/>
        </w:rPr>
        <w:t xml:space="preserve">, οπότε εφαρμόζεται μόνο ο Συντελεστής Δασμού της Στήλης 1. Η παρούσα ρήτρα δεν ισχύει για τη δασμολογική μεταχείριση των προϊόντων του Ηνωμένου Βασιλείου που περιγράφεται στην </w:t>
      </w:r>
      <w:r>
        <w:rPr>
          <w:rFonts w:ascii="Arial" w:hAnsi="Arial" w:cs="Arial"/>
          <w:sz w:val="22"/>
          <w:szCs w:val="22"/>
        </w:rPr>
        <w:t>ανωτέρω περίπτωση 1(</w:t>
      </w:r>
      <w:r w:rsidRPr="0000633E">
        <w:rPr>
          <w:rFonts w:ascii="Arial" w:hAnsi="Arial" w:cs="Arial"/>
          <w:sz w:val="22"/>
          <w:szCs w:val="22"/>
        </w:rPr>
        <w:t>γ) της παρούσας διακήρυξης.</w:t>
      </w:r>
    </w:p>
    <w:p w14:paraId="44CB626D" w14:textId="3C68D398" w:rsidR="004F103F" w:rsidRPr="008055A2" w:rsidRDefault="0000633E" w:rsidP="00F42E53">
      <w:pPr>
        <w:spacing w:after="240"/>
        <w:jc w:val="both"/>
        <w:rPr>
          <w:rFonts w:ascii="Arial" w:hAnsi="Arial" w:cs="Arial"/>
          <w:b/>
          <w:sz w:val="22"/>
          <w:szCs w:val="22"/>
        </w:rPr>
      </w:pPr>
      <w:r w:rsidRPr="008055A2">
        <w:rPr>
          <w:rFonts w:ascii="Arial" w:hAnsi="Arial" w:cs="Arial"/>
          <w:b/>
          <w:sz w:val="22"/>
          <w:szCs w:val="22"/>
        </w:rPr>
        <w:t xml:space="preserve">Επισημαίνουμε ότι η ανωτέρω καταγραφή δεν αποτελεί εξαντλητική παράθεση των νέων μέτρων, η οποία είναι διαθέσιμη </w:t>
      </w:r>
      <w:hyperlink r:id="rId11" w:history="1">
        <w:r w:rsidRPr="008055A2">
          <w:rPr>
            <w:rStyle w:val="Hyperlink"/>
            <w:rFonts w:ascii="Arial" w:hAnsi="Arial" w:cs="Arial"/>
            <w:b/>
            <w:sz w:val="22"/>
            <w:szCs w:val="22"/>
          </w:rPr>
          <w:t>εδώ</w:t>
        </w:r>
      </w:hyperlink>
      <w:r w:rsidRPr="008055A2">
        <w:rPr>
          <w:rFonts w:ascii="Arial" w:hAnsi="Arial" w:cs="Arial"/>
          <w:b/>
          <w:sz w:val="22"/>
          <w:szCs w:val="22"/>
        </w:rPr>
        <w:t>.</w:t>
      </w:r>
    </w:p>
    <w:p w14:paraId="22AE55D8" w14:textId="77777777" w:rsidR="0019594D" w:rsidRDefault="0019594D" w:rsidP="0019594D">
      <w:pPr>
        <w:spacing w:after="120"/>
        <w:jc w:val="both"/>
        <w:rPr>
          <w:rFonts w:ascii="Arial" w:hAnsi="Arial" w:cs="Arial"/>
          <w:sz w:val="22"/>
          <w:szCs w:val="22"/>
        </w:rPr>
      </w:pPr>
    </w:p>
    <w:p w14:paraId="15200ED2" w14:textId="77777777" w:rsidR="0019594D" w:rsidRPr="00D30E43" w:rsidRDefault="0019594D" w:rsidP="0019594D">
      <w:pPr>
        <w:tabs>
          <w:tab w:val="center" w:pos="5400"/>
        </w:tabs>
        <w:jc w:val="both"/>
        <w:rPr>
          <w:rFonts w:ascii="Arial" w:hAnsi="Arial" w:cs="Arial"/>
          <w:sz w:val="22"/>
          <w:szCs w:val="22"/>
        </w:rPr>
      </w:pPr>
      <w:r w:rsidRPr="005B3C70">
        <w:rPr>
          <w:rFonts w:ascii="Arial" w:hAnsi="Arial" w:cs="Arial"/>
          <w:sz w:val="22"/>
          <w:szCs w:val="22"/>
        </w:rPr>
        <w:tab/>
      </w:r>
      <w:r w:rsidRPr="00D30E43">
        <w:rPr>
          <w:rFonts w:ascii="Arial" w:hAnsi="Arial" w:cs="Arial"/>
          <w:sz w:val="22"/>
          <w:szCs w:val="22"/>
        </w:rPr>
        <w:t>Διονύσης Πρωτοπαπάς</w:t>
      </w:r>
    </w:p>
    <w:p w14:paraId="09E54F7B" w14:textId="77777777" w:rsidR="0019594D" w:rsidRDefault="0019594D" w:rsidP="0019594D">
      <w:pPr>
        <w:tabs>
          <w:tab w:val="center" w:pos="5400"/>
        </w:tabs>
        <w:jc w:val="both"/>
        <w:rPr>
          <w:rFonts w:ascii="Arial" w:hAnsi="Arial" w:cs="Arial"/>
          <w:sz w:val="22"/>
          <w:szCs w:val="22"/>
        </w:rPr>
      </w:pPr>
      <w:r w:rsidRPr="00D30E43">
        <w:rPr>
          <w:rFonts w:ascii="Arial" w:hAnsi="Arial" w:cs="Arial"/>
          <w:sz w:val="22"/>
          <w:szCs w:val="22"/>
        </w:rPr>
        <w:tab/>
        <w:t>Γενικός Σύμβουλος ΟΕΥ Β’</w:t>
      </w:r>
    </w:p>
    <w:p w14:paraId="3A2F3717" w14:textId="77777777" w:rsidR="0003074D" w:rsidRDefault="0003074D" w:rsidP="0019594D">
      <w:pPr>
        <w:tabs>
          <w:tab w:val="center" w:pos="5400"/>
        </w:tabs>
        <w:spacing w:after="120"/>
        <w:jc w:val="both"/>
        <w:rPr>
          <w:rFonts w:ascii="Arial" w:hAnsi="Arial" w:cs="Arial"/>
          <w:sz w:val="22"/>
          <w:szCs w:val="22"/>
        </w:rPr>
      </w:pPr>
    </w:p>
    <w:p w14:paraId="19A8B181" w14:textId="40613284" w:rsidR="0019594D" w:rsidRPr="0019594D" w:rsidRDefault="0019594D" w:rsidP="0003074D">
      <w:pPr>
        <w:tabs>
          <w:tab w:val="center" w:pos="5400"/>
        </w:tabs>
        <w:spacing w:after="120"/>
        <w:jc w:val="both"/>
        <w:rPr>
          <w:rFonts w:ascii="Arial" w:hAnsi="Arial" w:cs="Arial"/>
          <w:sz w:val="22"/>
          <w:szCs w:val="22"/>
        </w:rPr>
      </w:pPr>
      <w:r w:rsidRPr="00D30E43">
        <w:rPr>
          <w:rFonts w:ascii="Arial" w:hAnsi="Arial" w:cs="Arial"/>
          <w:sz w:val="22"/>
          <w:szCs w:val="22"/>
        </w:rPr>
        <w:t>ΖΠ/</w:t>
      </w:r>
    </w:p>
    <w:sectPr w:rsidR="0019594D" w:rsidRPr="0019594D" w:rsidSect="005C19D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3EC0D" w14:textId="77777777" w:rsidR="000C7E9C" w:rsidRDefault="000C7E9C" w:rsidP="00ED0F59">
      <w:r>
        <w:separator/>
      </w:r>
    </w:p>
  </w:endnote>
  <w:endnote w:type="continuationSeparator" w:id="0">
    <w:p w14:paraId="5AC9E5C7" w14:textId="77777777" w:rsidR="000C7E9C" w:rsidRDefault="000C7E9C" w:rsidP="00ED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519E3" w14:textId="77777777" w:rsidR="000C7E9C" w:rsidRDefault="000C7E9C" w:rsidP="00ED0F59">
      <w:r>
        <w:separator/>
      </w:r>
    </w:p>
  </w:footnote>
  <w:footnote w:type="continuationSeparator" w:id="0">
    <w:p w14:paraId="412C71E0" w14:textId="77777777" w:rsidR="000C7E9C" w:rsidRDefault="000C7E9C" w:rsidP="00ED0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75AF"/>
    <w:multiLevelType w:val="hybridMultilevel"/>
    <w:tmpl w:val="4006AC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D0F0B"/>
    <w:multiLevelType w:val="hybridMultilevel"/>
    <w:tmpl w:val="A774B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5229F"/>
    <w:multiLevelType w:val="multilevel"/>
    <w:tmpl w:val="C6AA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841BD1"/>
    <w:multiLevelType w:val="multilevel"/>
    <w:tmpl w:val="C940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F51A7"/>
    <w:multiLevelType w:val="hybridMultilevel"/>
    <w:tmpl w:val="7376EAB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5" w15:restartNumberingAfterBreak="0">
    <w:nsid w:val="270C3881"/>
    <w:multiLevelType w:val="multilevel"/>
    <w:tmpl w:val="FD34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7967D4"/>
    <w:multiLevelType w:val="multilevel"/>
    <w:tmpl w:val="1D36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673759"/>
    <w:multiLevelType w:val="hybridMultilevel"/>
    <w:tmpl w:val="08DC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FB6FA6"/>
    <w:multiLevelType w:val="hybridMultilevel"/>
    <w:tmpl w:val="EF88D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34782F"/>
    <w:multiLevelType w:val="multilevel"/>
    <w:tmpl w:val="E3003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74595F"/>
    <w:multiLevelType w:val="hybridMultilevel"/>
    <w:tmpl w:val="C458D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550F77"/>
    <w:multiLevelType w:val="hybridMultilevel"/>
    <w:tmpl w:val="F4C83E1C"/>
    <w:lvl w:ilvl="0" w:tplc="18AE2D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6A1C29"/>
    <w:multiLevelType w:val="hybridMultilevel"/>
    <w:tmpl w:val="FF805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AF00DB"/>
    <w:multiLevelType w:val="hybridMultilevel"/>
    <w:tmpl w:val="6AA2204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49CF5C9E"/>
    <w:multiLevelType w:val="hybridMultilevel"/>
    <w:tmpl w:val="B186D484"/>
    <w:lvl w:ilvl="0" w:tplc="BB986A6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104C5C"/>
    <w:multiLevelType w:val="multilevel"/>
    <w:tmpl w:val="766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D6624C"/>
    <w:multiLevelType w:val="hybridMultilevel"/>
    <w:tmpl w:val="5BAAEE06"/>
    <w:lvl w:ilvl="0" w:tplc="9F668D6E">
      <w:numFmt w:val="bullet"/>
      <w:lvlText w:val="-"/>
      <w:lvlJc w:val="left"/>
      <w:pPr>
        <w:ind w:left="346" w:hanging="360"/>
      </w:pPr>
      <w:rPr>
        <w:rFonts w:ascii="Arial" w:eastAsia="Times New Roman" w:hAnsi="Arial" w:cs="Arial"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17" w15:restartNumberingAfterBreak="0">
    <w:nsid w:val="6BCB28DF"/>
    <w:multiLevelType w:val="hybridMultilevel"/>
    <w:tmpl w:val="6E2E46A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6C536850"/>
    <w:multiLevelType w:val="hybridMultilevel"/>
    <w:tmpl w:val="3B46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965CE0"/>
    <w:multiLevelType w:val="hybridMultilevel"/>
    <w:tmpl w:val="5D5E7CC2"/>
    <w:lvl w:ilvl="0" w:tplc="C0586D04">
      <w:numFmt w:val="bullet"/>
      <w:lvlText w:val="-"/>
      <w:lvlJc w:val="left"/>
      <w:pPr>
        <w:ind w:left="1020" w:hanging="360"/>
      </w:pPr>
      <w:rPr>
        <w:rFonts w:ascii="Arial" w:eastAsia="Times New Roman" w:hAnsi="Arial" w:cs="Aria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0" w15:restartNumberingAfterBreak="0">
    <w:nsid w:val="74EC466F"/>
    <w:multiLevelType w:val="hybridMultilevel"/>
    <w:tmpl w:val="9EAA7A34"/>
    <w:lvl w:ilvl="0" w:tplc="31C83868">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D91DEF"/>
    <w:multiLevelType w:val="hybridMultilevel"/>
    <w:tmpl w:val="359AAC9C"/>
    <w:lvl w:ilvl="0" w:tplc="31C83868">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7BA36447"/>
    <w:multiLevelType w:val="multilevel"/>
    <w:tmpl w:val="71007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18"/>
  </w:num>
  <w:num w:numId="4">
    <w:abstractNumId w:val="2"/>
  </w:num>
  <w:num w:numId="5">
    <w:abstractNumId w:val="3"/>
  </w:num>
  <w:num w:numId="6">
    <w:abstractNumId w:val="16"/>
  </w:num>
  <w:num w:numId="7">
    <w:abstractNumId w:val="22"/>
  </w:num>
  <w:num w:numId="8">
    <w:abstractNumId w:val="14"/>
  </w:num>
  <w:num w:numId="9">
    <w:abstractNumId w:val="19"/>
  </w:num>
  <w:num w:numId="10">
    <w:abstractNumId w:val="4"/>
  </w:num>
  <w:num w:numId="11">
    <w:abstractNumId w:val="6"/>
  </w:num>
  <w:num w:numId="12">
    <w:abstractNumId w:val="8"/>
  </w:num>
  <w:num w:numId="13">
    <w:abstractNumId w:val="7"/>
  </w:num>
  <w:num w:numId="14">
    <w:abstractNumId w:val="12"/>
  </w:num>
  <w:num w:numId="15">
    <w:abstractNumId w:val="21"/>
  </w:num>
  <w:num w:numId="16">
    <w:abstractNumId w:val="20"/>
  </w:num>
  <w:num w:numId="17">
    <w:abstractNumId w:val="9"/>
  </w:num>
  <w:num w:numId="18">
    <w:abstractNumId w:val="5"/>
  </w:num>
  <w:num w:numId="19">
    <w:abstractNumId w:val="15"/>
  </w:num>
  <w:num w:numId="20">
    <w:abstractNumId w:val="17"/>
  </w:num>
  <w:num w:numId="21">
    <w:abstractNumId w:val="13"/>
  </w:num>
  <w:num w:numId="22">
    <w:abstractNumId w:val="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96"/>
    <w:rsid w:val="000019F5"/>
    <w:rsid w:val="000023FA"/>
    <w:rsid w:val="0000572C"/>
    <w:rsid w:val="0000633E"/>
    <w:rsid w:val="00011AC8"/>
    <w:rsid w:val="00014B2B"/>
    <w:rsid w:val="0001674E"/>
    <w:rsid w:val="0002265B"/>
    <w:rsid w:val="0003074D"/>
    <w:rsid w:val="000401B9"/>
    <w:rsid w:val="0004144E"/>
    <w:rsid w:val="00044782"/>
    <w:rsid w:val="0005021E"/>
    <w:rsid w:val="0005500E"/>
    <w:rsid w:val="00055836"/>
    <w:rsid w:val="0006685D"/>
    <w:rsid w:val="000668B8"/>
    <w:rsid w:val="00066926"/>
    <w:rsid w:val="0007753B"/>
    <w:rsid w:val="0008347D"/>
    <w:rsid w:val="000B6820"/>
    <w:rsid w:val="000C3CC2"/>
    <w:rsid w:val="000C7E54"/>
    <w:rsid w:val="000C7E9C"/>
    <w:rsid w:val="000D1317"/>
    <w:rsid w:val="000D1F85"/>
    <w:rsid w:val="000D5BF1"/>
    <w:rsid w:val="000E76F2"/>
    <w:rsid w:val="000E7F4F"/>
    <w:rsid w:val="000F0D92"/>
    <w:rsid w:val="000F290C"/>
    <w:rsid w:val="000F3F06"/>
    <w:rsid w:val="000F5549"/>
    <w:rsid w:val="000F7664"/>
    <w:rsid w:val="001005C9"/>
    <w:rsid w:val="00106EDF"/>
    <w:rsid w:val="00120B26"/>
    <w:rsid w:val="00120F41"/>
    <w:rsid w:val="00124A68"/>
    <w:rsid w:val="00127461"/>
    <w:rsid w:val="00133ECA"/>
    <w:rsid w:val="00137237"/>
    <w:rsid w:val="001423D0"/>
    <w:rsid w:val="001436CF"/>
    <w:rsid w:val="0014506B"/>
    <w:rsid w:val="00145591"/>
    <w:rsid w:val="0014602F"/>
    <w:rsid w:val="001478E8"/>
    <w:rsid w:val="00147AB9"/>
    <w:rsid w:val="00151D6F"/>
    <w:rsid w:val="001567FE"/>
    <w:rsid w:val="0015688A"/>
    <w:rsid w:val="00160B57"/>
    <w:rsid w:val="00163D7C"/>
    <w:rsid w:val="001727BB"/>
    <w:rsid w:val="00172DED"/>
    <w:rsid w:val="00176189"/>
    <w:rsid w:val="001763A5"/>
    <w:rsid w:val="00187C3B"/>
    <w:rsid w:val="00187EF2"/>
    <w:rsid w:val="00190130"/>
    <w:rsid w:val="0019185E"/>
    <w:rsid w:val="00193471"/>
    <w:rsid w:val="00193F20"/>
    <w:rsid w:val="0019594D"/>
    <w:rsid w:val="001B0CD6"/>
    <w:rsid w:val="001B1F74"/>
    <w:rsid w:val="001B37F2"/>
    <w:rsid w:val="001B3AD3"/>
    <w:rsid w:val="001B7689"/>
    <w:rsid w:val="001B7F31"/>
    <w:rsid w:val="001C0266"/>
    <w:rsid w:val="001C1D0F"/>
    <w:rsid w:val="001C2905"/>
    <w:rsid w:val="001C7C2F"/>
    <w:rsid w:val="001D56DA"/>
    <w:rsid w:val="001E19FA"/>
    <w:rsid w:val="001E2D2D"/>
    <w:rsid w:val="001E30D3"/>
    <w:rsid w:val="001E5773"/>
    <w:rsid w:val="001E5B93"/>
    <w:rsid w:val="001E6302"/>
    <w:rsid w:val="001E72D2"/>
    <w:rsid w:val="001E750D"/>
    <w:rsid w:val="001E7984"/>
    <w:rsid w:val="001F03AF"/>
    <w:rsid w:val="001F3212"/>
    <w:rsid w:val="001F75C2"/>
    <w:rsid w:val="001F7613"/>
    <w:rsid w:val="001F7E23"/>
    <w:rsid w:val="002076DF"/>
    <w:rsid w:val="00213610"/>
    <w:rsid w:val="00217651"/>
    <w:rsid w:val="00223260"/>
    <w:rsid w:val="0022399D"/>
    <w:rsid w:val="002255FC"/>
    <w:rsid w:val="00226DC3"/>
    <w:rsid w:val="0022790A"/>
    <w:rsid w:val="0023260B"/>
    <w:rsid w:val="00232AD5"/>
    <w:rsid w:val="002332AA"/>
    <w:rsid w:val="00236858"/>
    <w:rsid w:val="002371AB"/>
    <w:rsid w:val="0024111A"/>
    <w:rsid w:val="002428D9"/>
    <w:rsid w:val="00242D48"/>
    <w:rsid w:val="00242F64"/>
    <w:rsid w:val="0024649B"/>
    <w:rsid w:val="002510E3"/>
    <w:rsid w:val="0025390A"/>
    <w:rsid w:val="00274043"/>
    <w:rsid w:val="002766E6"/>
    <w:rsid w:val="0028230E"/>
    <w:rsid w:val="0028546A"/>
    <w:rsid w:val="0028624E"/>
    <w:rsid w:val="00287445"/>
    <w:rsid w:val="002935CD"/>
    <w:rsid w:val="00294E5A"/>
    <w:rsid w:val="002A7DC6"/>
    <w:rsid w:val="002B069F"/>
    <w:rsid w:val="002B1D65"/>
    <w:rsid w:val="002B21CD"/>
    <w:rsid w:val="002B620E"/>
    <w:rsid w:val="002B62C7"/>
    <w:rsid w:val="002B737B"/>
    <w:rsid w:val="002C31A8"/>
    <w:rsid w:val="002C43D2"/>
    <w:rsid w:val="002C4A39"/>
    <w:rsid w:val="002D0F64"/>
    <w:rsid w:val="002D100E"/>
    <w:rsid w:val="002F2E72"/>
    <w:rsid w:val="002F54CD"/>
    <w:rsid w:val="002F78C3"/>
    <w:rsid w:val="0030242B"/>
    <w:rsid w:val="003030BD"/>
    <w:rsid w:val="00304B38"/>
    <w:rsid w:val="003071A6"/>
    <w:rsid w:val="003119D0"/>
    <w:rsid w:val="0031656C"/>
    <w:rsid w:val="00321DD9"/>
    <w:rsid w:val="00330D19"/>
    <w:rsid w:val="00334A56"/>
    <w:rsid w:val="00335F13"/>
    <w:rsid w:val="0034521C"/>
    <w:rsid w:val="0034571D"/>
    <w:rsid w:val="003507B0"/>
    <w:rsid w:val="003516C2"/>
    <w:rsid w:val="00355EF6"/>
    <w:rsid w:val="0035794B"/>
    <w:rsid w:val="00360631"/>
    <w:rsid w:val="00360EEC"/>
    <w:rsid w:val="003A0736"/>
    <w:rsid w:val="003A7F99"/>
    <w:rsid w:val="003B09B9"/>
    <w:rsid w:val="003B2DD2"/>
    <w:rsid w:val="003B518B"/>
    <w:rsid w:val="003C5FDE"/>
    <w:rsid w:val="003C70F4"/>
    <w:rsid w:val="003D0533"/>
    <w:rsid w:val="003D18E4"/>
    <w:rsid w:val="003D1C27"/>
    <w:rsid w:val="003D394D"/>
    <w:rsid w:val="003D5DFA"/>
    <w:rsid w:val="003E0C0B"/>
    <w:rsid w:val="003E0ED8"/>
    <w:rsid w:val="003E3BB8"/>
    <w:rsid w:val="003E7658"/>
    <w:rsid w:val="003F2EB7"/>
    <w:rsid w:val="003F3914"/>
    <w:rsid w:val="003F5AEF"/>
    <w:rsid w:val="003F5B53"/>
    <w:rsid w:val="003F605F"/>
    <w:rsid w:val="004034F7"/>
    <w:rsid w:val="004039BD"/>
    <w:rsid w:val="00405A32"/>
    <w:rsid w:val="00415F11"/>
    <w:rsid w:val="00420725"/>
    <w:rsid w:val="00420CBA"/>
    <w:rsid w:val="00421473"/>
    <w:rsid w:val="004258AB"/>
    <w:rsid w:val="004279E2"/>
    <w:rsid w:val="00436A52"/>
    <w:rsid w:val="004452F9"/>
    <w:rsid w:val="00452555"/>
    <w:rsid w:val="00460B03"/>
    <w:rsid w:val="0046101E"/>
    <w:rsid w:val="004640EB"/>
    <w:rsid w:val="004651FA"/>
    <w:rsid w:val="0047272D"/>
    <w:rsid w:val="004727C4"/>
    <w:rsid w:val="00472B82"/>
    <w:rsid w:val="00473856"/>
    <w:rsid w:val="004747E8"/>
    <w:rsid w:val="00476589"/>
    <w:rsid w:val="004832E8"/>
    <w:rsid w:val="00483C88"/>
    <w:rsid w:val="00483F46"/>
    <w:rsid w:val="004861E1"/>
    <w:rsid w:val="00486563"/>
    <w:rsid w:val="00490196"/>
    <w:rsid w:val="004A41CC"/>
    <w:rsid w:val="004B1A44"/>
    <w:rsid w:val="004B44C3"/>
    <w:rsid w:val="004C4DC9"/>
    <w:rsid w:val="004C4E3D"/>
    <w:rsid w:val="004C52A3"/>
    <w:rsid w:val="004C7B75"/>
    <w:rsid w:val="004D7AE5"/>
    <w:rsid w:val="004E0CD9"/>
    <w:rsid w:val="004E4AAD"/>
    <w:rsid w:val="004E4AF3"/>
    <w:rsid w:val="004F103F"/>
    <w:rsid w:val="004F2DCA"/>
    <w:rsid w:val="004F5107"/>
    <w:rsid w:val="00501183"/>
    <w:rsid w:val="00503B3E"/>
    <w:rsid w:val="00510381"/>
    <w:rsid w:val="00510836"/>
    <w:rsid w:val="00512E83"/>
    <w:rsid w:val="00517DE1"/>
    <w:rsid w:val="00522BA2"/>
    <w:rsid w:val="00523013"/>
    <w:rsid w:val="005240FE"/>
    <w:rsid w:val="00524D35"/>
    <w:rsid w:val="00525E0C"/>
    <w:rsid w:val="00526360"/>
    <w:rsid w:val="00526930"/>
    <w:rsid w:val="00530C7F"/>
    <w:rsid w:val="0053200C"/>
    <w:rsid w:val="00542234"/>
    <w:rsid w:val="005500C6"/>
    <w:rsid w:val="005538EB"/>
    <w:rsid w:val="00553B70"/>
    <w:rsid w:val="005568EB"/>
    <w:rsid w:val="00557FEE"/>
    <w:rsid w:val="00562706"/>
    <w:rsid w:val="00562B09"/>
    <w:rsid w:val="005725CB"/>
    <w:rsid w:val="00572768"/>
    <w:rsid w:val="00572F79"/>
    <w:rsid w:val="0057313E"/>
    <w:rsid w:val="00575F88"/>
    <w:rsid w:val="0057723F"/>
    <w:rsid w:val="005776AD"/>
    <w:rsid w:val="00581695"/>
    <w:rsid w:val="0058198B"/>
    <w:rsid w:val="005845F8"/>
    <w:rsid w:val="005848B3"/>
    <w:rsid w:val="00595A5D"/>
    <w:rsid w:val="00595CDE"/>
    <w:rsid w:val="00596AA7"/>
    <w:rsid w:val="005A0593"/>
    <w:rsid w:val="005A669C"/>
    <w:rsid w:val="005B1925"/>
    <w:rsid w:val="005B1AD0"/>
    <w:rsid w:val="005B257B"/>
    <w:rsid w:val="005B3762"/>
    <w:rsid w:val="005B3C70"/>
    <w:rsid w:val="005B741D"/>
    <w:rsid w:val="005C0516"/>
    <w:rsid w:val="005C0B73"/>
    <w:rsid w:val="005C1266"/>
    <w:rsid w:val="005C19D5"/>
    <w:rsid w:val="005C2EC4"/>
    <w:rsid w:val="005C4E54"/>
    <w:rsid w:val="005C4F39"/>
    <w:rsid w:val="005C618C"/>
    <w:rsid w:val="005D0731"/>
    <w:rsid w:val="005D3886"/>
    <w:rsid w:val="005D45CD"/>
    <w:rsid w:val="005E74C0"/>
    <w:rsid w:val="005F1745"/>
    <w:rsid w:val="005F2E17"/>
    <w:rsid w:val="005F36D0"/>
    <w:rsid w:val="00602A39"/>
    <w:rsid w:val="00612E33"/>
    <w:rsid w:val="00613C0F"/>
    <w:rsid w:val="006143CE"/>
    <w:rsid w:val="0061724F"/>
    <w:rsid w:val="00622DBA"/>
    <w:rsid w:val="006273B9"/>
    <w:rsid w:val="00632545"/>
    <w:rsid w:val="00633339"/>
    <w:rsid w:val="00633E7E"/>
    <w:rsid w:val="006473A2"/>
    <w:rsid w:val="0065076B"/>
    <w:rsid w:val="006516F4"/>
    <w:rsid w:val="00656901"/>
    <w:rsid w:val="00662B2C"/>
    <w:rsid w:val="00667B80"/>
    <w:rsid w:val="00670F9D"/>
    <w:rsid w:val="0067460E"/>
    <w:rsid w:val="00674B85"/>
    <w:rsid w:val="00681E8A"/>
    <w:rsid w:val="006833AB"/>
    <w:rsid w:val="00683C78"/>
    <w:rsid w:val="00686E7D"/>
    <w:rsid w:val="00690B96"/>
    <w:rsid w:val="00693627"/>
    <w:rsid w:val="00695651"/>
    <w:rsid w:val="006956E9"/>
    <w:rsid w:val="00695A15"/>
    <w:rsid w:val="00695B1A"/>
    <w:rsid w:val="0069643C"/>
    <w:rsid w:val="006A51FC"/>
    <w:rsid w:val="006A5736"/>
    <w:rsid w:val="006A66C9"/>
    <w:rsid w:val="006B1830"/>
    <w:rsid w:val="006B44D0"/>
    <w:rsid w:val="006C3964"/>
    <w:rsid w:val="006C4595"/>
    <w:rsid w:val="006C4739"/>
    <w:rsid w:val="006C4750"/>
    <w:rsid w:val="006D6F58"/>
    <w:rsid w:val="006D7D75"/>
    <w:rsid w:val="006E2A6E"/>
    <w:rsid w:val="006E4F2C"/>
    <w:rsid w:val="006E79E2"/>
    <w:rsid w:val="006F28FB"/>
    <w:rsid w:val="006F7489"/>
    <w:rsid w:val="00703E84"/>
    <w:rsid w:val="0070655B"/>
    <w:rsid w:val="0071199C"/>
    <w:rsid w:val="00714D4F"/>
    <w:rsid w:val="00716E63"/>
    <w:rsid w:val="00721EB0"/>
    <w:rsid w:val="007271DD"/>
    <w:rsid w:val="007301B4"/>
    <w:rsid w:val="0073641C"/>
    <w:rsid w:val="0074176D"/>
    <w:rsid w:val="00751E97"/>
    <w:rsid w:val="00752DCA"/>
    <w:rsid w:val="00755C86"/>
    <w:rsid w:val="00757A3A"/>
    <w:rsid w:val="00762188"/>
    <w:rsid w:val="00762A36"/>
    <w:rsid w:val="0077257E"/>
    <w:rsid w:val="00773C76"/>
    <w:rsid w:val="007766D7"/>
    <w:rsid w:val="00784326"/>
    <w:rsid w:val="0078614F"/>
    <w:rsid w:val="00786736"/>
    <w:rsid w:val="00786E6A"/>
    <w:rsid w:val="0078711A"/>
    <w:rsid w:val="00793DA4"/>
    <w:rsid w:val="0079435D"/>
    <w:rsid w:val="007B74CE"/>
    <w:rsid w:val="007C2E2E"/>
    <w:rsid w:val="007D1E00"/>
    <w:rsid w:val="007D4914"/>
    <w:rsid w:val="007D5F43"/>
    <w:rsid w:val="007D6BEF"/>
    <w:rsid w:val="007E0D4A"/>
    <w:rsid w:val="007F0E3A"/>
    <w:rsid w:val="007F2064"/>
    <w:rsid w:val="007F2446"/>
    <w:rsid w:val="007F5416"/>
    <w:rsid w:val="008003DD"/>
    <w:rsid w:val="008008DA"/>
    <w:rsid w:val="0080411D"/>
    <w:rsid w:val="008055A2"/>
    <w:rsid w:val="00810558"/>
    <w:rsid w:val="00842C8F"/>
    <w:rsid w:val="00843725"/>
    <w:rsid w:val="00843C80"/>
    <w:rsid w:val="0085151E"/>
    <w:rsid w:val="008518E3"/>
    <w:rsid w:val="00856DDA"/>
    <w:rsid w:val="0085709D"/>
    <w:rsid w:val="00860E9D"/>
    <w:rsid w:val="00861469"/>
    <w:rsid w:val="00863B67"/>
    <w:rsid w:val="0086589A"/>
    <w:rsid w:val="00866B1A"/>
    <w:rsid w:val="00870EC7"/>
    <w:rsid w:val="00871234"/>
    <w:rsid w:val="00873760"/>
    <w:rsid w:val="00877113"/>
    <w:rsid w:val="008815F9"/>
    <w:rsid w:val="008853A7"/>
    <w:rsid w:val="00886F00"/>
    <w:rsid w:val="008873B7"/>
    <w:rsid w:val="008B197A"/>
    <w:rsid w:val="008B3955"/>
    <w:rsid w:val="008B4613"/>
    <w:rsid w:val="008B520F"/>
    <w:rsid w:val="008C21B9"/>
    <w:rsid w:val="008C28F9"/>
    <w:rsid w:val="008C472E"/>
    <w:rsid w:val="008D0C31"/>
    <w:rsid w:val="008D3B83"/>
    <w:rsid w:val="008D3BA0"/>
    <w:rsid w:val="008D49B0"/>
    <w:rsid w:val="008D75FE"/>
    <w:rsid w:val="008E633D"/>
    <w:rsid w:val="008E64F5"/>
    <w:rsid w:val="008E79F9"/>
    <w:rsid w:val="00900BED"/>
    <w:rsid w:val="009115B3"/>
    <w:rsid w:val="00912D70"/>
    <w:rsid w:val="00914F19"/>
    <w:rsid w:val="00915CBB"/>
    <w:rsid w:val="00922C90"/>
    <w:rsid w:val="00923F39"/>
    <w:rsid w:val="0093072D"/>
    <w:rsid w:val="009355D4"/>
    <w:rsid w:val="009375AA"/>
    <w:rsid w:val="00944297"/>
    <w:rsid w:val="00946531"/>
    <w:rsid w:val="00946D57"/>
    <w:rsid w:val="00947591"/>
    <w:rsid w:val="009515C1"/>
    <w:rsid w:val="00954019"/>
    <w:rsid w:val="00957D82"/>
    <w:rsid w:val="00977813"/>
    <w:rsid w:val="00982C48"/>
    <w:rsid w:val="00985F9B"/>
    <w:rsid w:val="0099581D"/>
    <w:rsid w:val="009A02B2"/>
    <w:rsid w:val="009A3FA9"/>
    <w:rsid w:val="009A4450"/>
    <w:rsid w:val="009B07B9"/>
    <w:rsid w:val="009B2E11"/>
    <w:rsid w:val="009B5AF4"/>
    <w:rsid w:val="009B68B7"/>
    <w:rsid w:val="009C7B54"/>
    <w:rsid w:val="009D0910"/>
    <w:rsid w:val="009D30D2"/>
    <w:rsid w:val="009D4866"/>
    <w:rsid w:val="009D4DE8"/>
    <w:rsid w:val="009F39E0"/>
    <w:rsid w:val="009F4DAC"/>
    <w:rsid w:val="00A009FC"/>
    <w:rsid w:val="00A045A2"/>
    <w:rsid w:val="00A10E4C"/>
    <w:rsid w:val="00A234B3"/>
    <w:rsid w:val="00A30971"/>
    <w:rsid w:val="00A34638"/>
    <w:rsid w:val="00A36763"/>
    <w:rsid w:val="00A454C9"/>
    <w:rsid w:val="00A53DCC"/>
    <w:rsid w:val="00A5729F"/>
    <w:rsid w:val="00A65F38"/>
    <w:rsid w:val="00A65F39"/>
    <w:rsid w:val="00A676D7"/>
    <w:rsid w:val="00A71558"/>
    <w:rsid w:val="00A73AC3"/>
    <w:rsid w:val="00A8339A"/>
    <w:rsid w:val="00A8411E"/>
    <w:rsid w:val="00A94CF2"/>
    <w:rsid w:val="00A961AE"/>
    <w:rsid w:val="00A966C6"/>
    <w:rsid w:val="00AA30EC"/>
    <w:rsid w:val="00AA7C08"/>
    <w:rsid w:val="00AA7EC2"/>
    <w:rsid w:val="00AC56D5"/>
    <w:rsid w:val="00AC771D"/>
    <w:rsid w:val="00AD18BD"/>
    <w:rsid w:val="00AD386B"/>
    <w:rsid w:val="00AD3AA6"/>
    <w:rsid w:val="00AD6126"/>
    <w:rsid w:val="00AE4893"/>
    <w:rsid w:val="00AE756B"/>
    <w:rsid w:val="00AF0144"/>
    <w:rsid w:val="00AF0268"/>
    <w:rsid w:val="00AF4268"/>
    <w:rsid w:val="00AF4963"/>
    <w:rsid w:val="00AF52A3"/>
    <w:rsid w:val="00AF5AA0"/>
    <w:rsid w:val="00AF5ABB"/>
    <w:rsid w:val="00AF6EF8"/>
    <w:rsid w:val="00B066C5"/>
    <w:rsid w:val="00B06B5B"/>
    <w:rsid w:val="00B117CC"/>
    <w:rsid w:val="00B11AF4"/>
    <w:rsid w:val="00B11E9E"/>
    <w:rsid w:val="00B214AF"/>
    <w:rsid w:val="00B23721"/>
    <w:rsid w:val="00B23CBA"/>
    <w:rsid w:val="00B244C5"/>
    <w:rsid w:val="00B246CF"/>
    <w:rsid w:val="00B30A4D"/>
    <w:rsid w:val="00B30DC8"/>
    <w:rsid w:val="00B31FF4"/>
    <w:rsid w:val="00B33BEB"/>
    <w:rsid w:val="00B42700"/>
    <w:rsid w:val="00B4342D"/>
    <w:rsid w:val="00B438B4"/>
    <w:rsid w:val="00B43BC6"/>
    <w:rsid w:val="00B44960"/>
    <w:rsid w:val="00B47EC1"/>
    <w:rsid w:val="00B47F04"/>
    <w:rsid w:val="00B57147"/>
    <w:rsid w:val="00B62DD4"/>
    <w:rsid w:val="00B7166C"/>
    <w:rsid w:val="00B71812"/>
    <w:rsid w:val="00B73848"/>
    <w:rsid w:val="00B757E2"/>
    <w:rsid w:val="00B7590C"/>
    <w:rsid w:val="00B76773"/>
    <w:rsid w:val="00B768EC"/>
    <w:rsid w:val="00B770F7"/>
    <w:rsid w:val="00B906E0"/>
    <w:rsid w:val="00B9221C"/>
    <w:rsid w:val="00B92A35"/>
    <w:rsid w:val="00B953FD"/>
    <w:rsid w:val="00BA1A01"/>
    <w:rsid w:val="00BA2011"/>
    <w:rsid w:val="00BB0D2C"/>
    <w:rsid w:val="00BB4B8C"/>
    <w:rsid w:val="00BB68E8"/>
    <w:rsid w:val="00BB6E75"/>
    <w:rsid w:val="00BB7834"/>
    <w:rsid w:val="00BC024D"/>
    <w:rsid w:val="00BD1DD5"/>
    <w:rsid w:val="00BD65D7"/>
    <w:rsid w:val="00BD79FB"/>
    <w:rsid w:val="00BF38C1"/>
    <w:rsid w:val="00BF4FD7"/>
    <w:rsid w:val="00BF5AE2"/>
    <w:rsid w:val="00BF5E93"/>
    <w:rsid w:val="00C0294C"/>
    <w:rsid w:val="00C03628"/>
    <w:rsid w:val="00C039B3"/>
    <w:rsid w:val="00C054E4"/>
    <w:rsid w:val="00C13A00"/>
    <w:rsid w:val="00C14E2D"/>
    <w:rsid w:val="00C16E71"/>
    <w:rsid w:val="00C20865"/>
    <w:rsid w:val="00C23585"/>
    <w:rsid w:val="00C25A68"/>
    <w:rsid w:val="00C25E7F"/>
    <w:rsid w:val="00C30777"/>
    <w:rsid w:val="00C329EE"/>
    <w:rsid w:val="00C34236"/>
    <w:rsid w:val="00C427B1"/>
    <w:rsid w:val="00C44D21"/>
    <w:rsid w:val="00C47F69"/>
    <w:rsid w:val="00C56838"/>
    <w:rsid w:val="00C56ECF"/>
    <w:rsid w:val="00C62429"/>
    <w:rsid w:val="00C6566C"/>
    <w:rsid w:val="00C65D0C"/>
    <w:rsid w:val="00C665A7"/>
    <w:rsid w:val="00C741ED"/>
    <w:rsid w:val="00C81B28"/>
    <w:rsid w:val="00C83C8E"/>
    <w:rsid w:val="00C9177C"/>
    <w:rsid w:val="00C91D29"/>
    <w:rsid w:val="00CA0F78"/>
    <w:rsid w:val="00CA45D3"/>
    <w:rsid w:val="00CB1466"/>
    <w:rsid w:val="00CB22B9"/>
    <w:rsid w:val="00CB5A0D"/>
    <w:rsid w:val="00CC7D56"/>
    <w:rsid w:val="00CD01E4"/>
    <w:rsid w:val="00CE321F"/>
    <w:rsid w:val="00CE3AF2"/>
    <w:rsid w:val="00CF5878"/>
    <w:rsid w:val="00CF6087"/>
    <w:rsid w:val="00CF6BBC"/>
    <w:rsid w:val="00D01121"/>
    <w:rsid w:val="00D01B41"/>
    <w:rsid w:val="00D02907"/>
    <w:rsid w:val="00D05FC7"/>
    <w:rsid w:val="00D06CB8"/>
    <w:rsid w:val="00D116D8"/>
    <w:rsid w:val="00D11AFB"/>
    <w:rsid w:val="00D12006"/>
    <w:rsid w:val="00D14AF0"/>
    <w:rsid w:val="00D24EBD"/>
    <w:rsid w:val="00D255AE"/>
    <w:rsid w:val="00D25FB7"/>
    <w:rsid w:val="00D26C17"/>
    <w:rsid w:val="00D30E43"/>
    <w:rsid w:val="00D32C3E"/>
    <w:rsid w:val="00D364AC"/>
    <w:rsid w:val="00D37317"/>
    <w:rsid w:val="00D41265"/>
    <w:rsid w:val="00D41748"/>
    <w:rsid w:val="00D4285B"/>
    <w:rsid w:val="00D44771"/>
    <w:rsid w:val="00D55244"/>
    <w:rsid w:val="00D57C37"/>
    <w:rsid w:val="00D620B4"/>
    <w:rsid w:val="00D6726E"/>
    <w:rsid w:val="00D74296"/>
    <w:rsid w:val="00D84992"/>
    <w:rsid w:val="00D85A7D"/>
    <w:rsid w:val="00D86149"/>
    <w:rsid w:val="00D86BF6"/>
    <w:rsid w:val="00D87A71"/>
    <w:rsid w:val="00D93EAA"/>
    <w:rsid w:val="00D9633B"/>
    <w:rsid w:val="00DA1EB6"/>
    <w:rsid w:val="00DA3FA8"/>
    <w:rsid w:val="00DA4B4A"/>
    <w:rsid w:val="00DA5ACF"/>
    <w:rsid w:val="00DA721D"/>
    <w:rsid w:val="00DB0C4C"/>
    <w:rsid w:val="00DB35E4"/>
    <w:rsid w:val="00DB390E"/>
    <w:rsid w:val="00DB44D4"/>
    <w:rsid w:val="00DB4B9F"/>
    <w:rsid w:val="00DB65FB"/>
    <w:rsid w:val="00DB77B8"/>
    <w:rsid w:val="00DC0E68"/>
    <w:rsid w:val="00DC62C0"/>
    <w:rsid w:val="00DC71C5"/>
    <w:rsid w:val="00DC7CB8"/>
    <w:rsid w:val="00DD34E4"/>
    <w:rsid w:val="00DD51D3"/>
    <w:rsid w:val="00DD6657"/>
    <w:rsid w:val="00DE24EE"/>
    <w:rsid w:val="00DE3394"/>
    <w:rsid w:val="00DF708B"/>
    <w:rsid w:val="00DF72BB"/>
    <w:rsid w:val="00E0044C"/>
    <w:rsid w:val="00E005BD"/>
    <w:rsid w:val="00E00D71"/>
    <w:rsid w:val="00E0641C"/>
    <w:rsid w:val="00E10A58"/>
    <w:rsid w:val="00E16D80"/>
    <w:rsid w:val="00E22D4C"/>
    <w:rsid w:val="00E23E89"/>
    <w:rsid w:val="00E25B5F"/>
    <w:rsid w:val="00E26DEA"/>
    <w:rsid w:val="00E27FA4"/>
    <w:rsid w:val="00E443EA"/>
    <w:rsid w:val="00E463DC"/>
    <w:rsid w:val="00E472CB"/>
    <w:rsid w:val="00E511C9"/>
    <w:rsid w:val="00E55557"/>
    <w:rsid w:val="00E6042F"/>
    <w:rsid w:val="00E60884"/>
    <w:rsid w:val="00E6140F"/>
    <w:rsid w:val="00E62B67"/>
    <w:rsid w:val="00E62F76"/>
    <w:rsid w:val="00E670F3"/>
    <w:rsid w:val="00E722BC"/>
    <w:rsid w:val="00E818C6"/>
    <w:rsid w:val="00E84048"/>
    <w:rsid w:val="00E84902"/>
    <w:rsid w:val="00E87D16"/>
    <w:rsid w:val="00E90849"/>
    <w:rsid w:val="00E92ACC"/>
    <w:rsid w:val="00E94D8F"/>
    <w:rsid w:val="00EA29C4"/>
    <w:rsid w:val="00EA5072"/>
    <w:rsid w:val="00EA744B"/>
    <w:rsid w:val="00EB2468"/>
    <w:rsid w:val="00EB33D9"/>
    <w:rsid w:val="00EB5433"/>
    <w:rsid w:val="00EC1727"/>
    <w:rsid w:val="00EC39B9"/>
    <w:rsid w:val="00EC4D3D"/>
    <w:rsid w:val="00ED0F59"/>
    <w:rsid w:val="00ED7EF2"/>
    <w:rsid w:val="00EE0A82"/>
    <w:rsid w:val="00EE330F"/>
    <w:rsid w:val="00EE7C3B"/>
    <w:rsid w:val="00EE7F0B"/>
    <w:rsid w:val="00EF01F0"/>
    <w:rsid w:val="00EF1334"/>
    <w:rsid w:val="00EF2036"/>
    <w:rsid w:val="00EF608D"/>
    <w:rsid w:val="00EF6350"/>
    <w:rsid w:val="00F00763"/>
    <w:rsid w:val="00F00AB1"/>
    <w:rsid w:val="00F03546"/>
    <w:rsid w:val="00F04785"/>
    <w:rsid w:val="00F04C18"/>
    <w:rsid w:val="00F10FF7"/>
    <w:rsid w:val="00F163DB"/>
    <w:rsid w:val="00F17442"/>
    <w:rsid w:val="00F210E0"/>
    <w:rsid w:val="00F2348D"/>
    <w:rsid w:val="00F25492"/>
    <w:rsid w:val="00F302A5"/>
    <w:rsid w:val="00F35B62"/>
    <w:rsid w:val="00F41F9E"/>
    <w:rsid w:val="00F42E53"/>
    <w:rsid w:val="00F43017"/>
    <w:rsid w:val="00F45213"/>
    <w:rsid w:val="00F46E7A"/>
    <w:rsid w:val="00F500B9"/>
    <w:rsid w:val="00F5117A"/>
    <w:rsid w:val="00F52C33"/>
    <w:rsid w:val="00F53A58"/>
    <w:rsid w:val="00F57028"/>
    <w:rsid w:val="00F60974"/>
    <w:rsid w:val="00F63322"/>
    <w:rsid w:val="00F63964"/>
    <w:rsid w:val="00F6532E"/>
    <w:rsid w:val="00F67230"/>
    <w:rsid w:val="00F705C3"/>
    <w:rsid w:val="00F74081"/>
    <w:rsid w:val="00F76353"/>
    <w:rsid w:val="00F76B1C"/>
    <w:rsid w:val="00F817E4"/>
    <w:rsid w:val="00F8350E"/>
    <w:rsid w:val="00F8513A"/>
    <w:rsid w:val="00F91E0D"/>
    <w:rsid w:val="00F93E9F"/>
    <w:rsid w:val="00FA333E"/>
    <w:rsid w:val="00FA74A0"/>
    <w:rsid w:val="00FB3073"/>
    <w:rsid w:val="00FB3A0B"/>
    <w:rsid w:val="00FC0C00"/>
    <w:rsid w:val="00FC0F0E"/>
    <w:rsid w:val="00FC764A"/>
    <w:rsid w:val="00FD51C6"/>
    <w:rsid w:val="00FE29AC"/>
    <w:rsid w:val="00FE326F"/>
    <w:rsid w:val="00FE3D48"/>
    <w:rsid w:val="00FE6AFC"/>
    <w:rsid w:val="00FF0FB0"/>
    <w:rsid w:val="00FF4DD3"/>
    <w:rsid w:val="00FF5E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896E1"/>
  <w15:chartTrackingRefBased/>
  <w15:docId w15:val="{74B382D6-24CD-4B58-9F54-01ADAE4C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4296"/>
    <w:pPr>
      <w:spacing w:after="0" w:line="240" w:lineRule="auto"/>
    </w:pPr>
    <w:rPr>
      <w:rFonts w:ascii="Times New Roman" w:eastAsia="Times New Roman" w:hAnsi="Times New Roman" w:cs="Times New Roman"/>
      <w:sz w:val="24"/>
      <w:szCs w:val="24"/>
      <w:lang w:val="el-GR" w:eastAsia="el-GR"/>
    </w:rPr>
  </w:style>
  <w:style w:type="paragraph" w:styleId="Heading1">
    <w:name w:val="heading 1"/>
    <w:basedOn w:val="Normal"/>
    <w:next w:val="Normal"/>
    <w:link w:val="Heading1Char"/>
    <w:uiPriority w:val="9"/>
    <w:qFormat/>
    <w:rsid w:val="00B30A4D"/>
    <w:pPr>
      <w:shd w:val="clear" w:color="auto" w:fill="DBE5F1" w:themeFill="accent1" w:themeFillTint="33"/>
      <w:jc w:val="both"/>
      <w:outlineLvl w:val="0"/>
    </w:pPr>
    <w:rPr>
      <w:rFonts w:ascii="Century Gothic" w:hAnsi="Century Gothic"/>
      <w:b/>
      <w:sz w:val="28"/>
    </w:rPr>
  </w:style>
  <w:style w:type="paragraph" w:styleId="Heading2">
    <w:name w:val="heading 2"/>
    <w:basedOn w:val="Normal"/>
    <w:link w:val="Heading2Char"/>
    <w:uiPriority w:val="9"/>
    <w:qFormat/>
    <w:rsid w:val="00B30A4D"/>
    <w:pPr>
      <w:jc w:val="both"/>
      <w:outlineLvl w:val="1"/>
    </w:pPr>
    <w:rPr>
      <w:rFonts w:ascii="Century Gothic" w:hAnsi="Century Gothic"/>
      <w:b/>
    </w:rPr>
  </w:style>
  <w:style w:type="paragraph" w:styleId="Heading3">
    <w:name w:val="heading 3"/>
    <w:basedOn w:val="Normal"/>
    <w:next w:val="Normal"/>
    <w:link w:val="Heading3Char"/>
    <w:uiPriority w:val="9"/>
    <w:unhideWhenUsed/>
    <w:qFormat/>
    <w:rsid w:val="00B30A4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A4D"/>
    <w:rPr>
      <w:rFonts w:ascii="Century Gothic" w:hAnsi="Century Gothic"/>
      <w:b/>
      <w:sz w:val="28"/>
      <w:shd w:val="clear" w:color="auto" w:fill="DBE5F1" w:themeFill="accent1" w:themeFillTint="33"/>
    </w:rPr>
  </w:style>
  <w:style w:type="character" w:customStyle="1" w:styleId="Heading2Char">
    <w:name w:val="Heading 2 Char"/>
    <w:basedOn w:val="DefaultParagraphFont"/>
    <w:link w:val="Heading2"/>
    <w:uiPriority w:val="9"/>
    <w:rsid w:val="00B30A4D"/>
    <w:rPr>
      <w:rFonts w:ascii="Century Gothic" w:hAnsi="Century Gothic"/>
      <w:b/>
      <w:sz w:val="24"/>
    </w:rPr>
  </w:style>
  <w:style w:type="character" w:customStyle="1" w:styleId="Heading3Char">
    <w:name w:val="Heading 3 Char"/>
    <w:basedOn w:val="DefaultParagraphFont"/>
    <w:link w:val="Heading3"/>
    <w:uiPriority w:val="9"/>
    <w:rsid w:val="00B30A4D"/>
    <w:rPr>
      <w:rFonts w:asciiTheme="majorHAnsi" w:eastAsiaTheme="majorEastAsia" w:hAnsiTheme="majorHAnsi" w:cstheme="majorBidi"/>
      <w:b/>
      <w:bCs/>
      <w:color w:val="4F81BD" w:themeColor="accent1"/>
    </w:rPr>
  </w:style>
  <w:style w:type="character" w:styleId="FootnoteReference">
    <w:name w:val="footnote reference"/>
    <w:basedOn w:val="DefaultParagraphFont"/>
    <w:uiPriority w:val="99"/>
    <w:semiHidden/>
    <w:unhideWhenUsed/>
    <w:qFormat/>
    <w:rsid w:val="00B30A4D"/>
    <w:rPr>
      <w:vertAlign w:val="superscript"/>
    </w:rPr>
  </w:style>
  <w:style w:type="character" w:styleId="Strong">
    <w:name w:val="Strong"/>
    <w:basedOn w:val="DefaultParagraphFont"/>
    <w:uiPriority w:val="22"/>
    <w:qFormat/>
    <w:rsid w:val="00B30A4D"/>
    <w:rPr>
      <w:b/>
      <w:bCs/>
    </w:rPr>
  </w:style>
  <w:style w:type="paragraph" w:styleId="ListParagraph">
    <w:name w:val="List Paragraph"/>
    <w:basedOn w:val="Normal"/>
    <w:uiPriority w:val="34"/>
    <w:qFormat/>
    <w:rsid w:val="00B30A4D"/>
    <w:pPr>
      <w:ind w:left="720"/>
      <w:contextualSpacing/>
    </w:pPr>
  </w:style>
  <w:style w:type="paragraph" w:styleId="TOCHeading">
    <w:name w:val="TOC Heading"/>
    <w:basedOn w:val="Heading1"/>
    <w:next w:val="Normal"/>
    <w:uiPriority w:val="39"/>
    <w:unhideWhenUsed/>
    <w:qFormat/>
    <w:rsid w:val="00B30A4D"/>
    <w:pPr>
      <w:outlineLvl w:val="9"/>
    </w:pPr>
  </w:style>
  <w:style w:type="character" w:styleId="Hyperlink">
    <w:name w:val="Hyperlink"/>
    <w:uiPriority w:val="99"/>
    <w:unhideWhenUsed/>
    <w:qFormat/>
    <w:rsid w:val="00C30777"/>
    <w:rPr>
      <w:color w:val="0000FF"/>
      <w:u w:val="single"/>
    </w:rPr>
  </w:style>
  <w:style w:type="character" w:styleId="UnresolvedMention">
    <w:name w:val="Unresolved Mention"/>
    <w:basedOn w:val="DefaultParagraphFont"/>
    <w:uiPriority w:val="99"/>
    <w:semiHidden/>
    <w:unhideWhenUsed/>
    <w:rsid w:val="00C30777"/>
    <w:rPr>
      <w:color w:val="605E5C"/>
      <w:shd w:val="clear" w:color="auto" w:fill="E1DFDD"/>
    </w:rPr>
  </w:style>
  <w:style w:type="paragraph" w:styleId="EndnoteText">
    <w:name w:val="endnote text"/>
    <w:basedOn w:val="Normal"/>
    <w:link w:val="EndnoteTextChar"/>
    <w:uiPriority w:val="99"/>
    <w:semiHidden/>
    <w:unhideWhenUsed/>
    <w:rsid w:val="00ED0F59"/>
    <w:rPr>
      <w:sz w:val="20"/>
      <w:szCs w:val="20"/>
    </w:rPr>
  </w:style>
  <w:style w:type="character" w:customStyle="1" w:styleId="EndnoteTextChar">
    <w:name w:val="Endnote Text Char"/>
    <w:basedOn w:val="DefaultParagraphFont"/>
    <w:link w:val="EndnoteText"/>
    <w:uiPriority w:val="99"/>
    <w:semiHidden/>
    <w:rsid w:val="00ED0F59"/>
    <w:rPr>
      <w:rFonts w:ascii="Times New Roman" w:eastAsia="Times New Roman" w:hAnsi="Times New Roman" w:cs="Times New Roman"/>
      <w:sz w:val="20"/>
      <w:szCs w:val="20"/>
      <w:lang w:val="el-GR" w:eastAsia="el-GR"/>
    </w:rPr>
  </w:style>
  <w:style w:type="character" w:styleId="EndnoteReference">
    <w:name w:val="endnote reference"/>
    <w:basedOn w:val="DefaultParagraphFont"/>
    <w:uiPriority w:val="99"/>
    <w:semiHidden/>
    <w:unhideWhenUsed/>
    <w:rsid w:val="00ED0F59"/>
    <w:rPr>
      <w:vertAlign w:val="superscript"/>
    </w:rPr>
  </w:style>
  <w:style w:type="character" w:styleId="FollowedHyperlink">
    <w:name w:val="FollowedHyperlink"/>
    <w:basedOn w:val="DefaultParagraphFont"/>
    <w:uiPriority w:val="99"/>
    <w:semiHidden/>
    <w:unhideWhenUsed/>
    <w:rsid w:val="00B23721"/>
    <w:rPr>
      <w:color w:val="800080" w:themeColor="followedHyperlink"/>
      <w:u w:val="single"/>
    </w:rPr>
  </w:style>
  <w:style w:type="paragraph" w:styleId="Header">
    <w:name w:val="header"/>
    <w:basedOn w:val="Normal"/>
    <w:link w:val="HeaderChar"/>
    <w:uiPriority w:val="99"/>
    <w:unhideWhenUsed/>
    <w:rsid w:val="0022399D"/>
    <w:pPr>
      <w:tabs>
        <w:tab w:val="center" w:pos="4680"/>
        <w:tab w:val="right" w:pos="9360"/>
      </w:tabs>
    </w:pPr>
  </w:style>
  <w:style w:type="character" w:customStyle="1" w:styleId="HeaderChar">
    <w:name w:val="Header Char"/>
    <w:basedOn w:val="DefaultParagraphFont"/>
    <w:link w:val="Header"/>
    <w:uiPriority w:val="99"/>
    <w:rsid w:val="0022399D"/>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qFormat/>
    <w:rsid w:val="0022399D"/>
    <w:pPr>
      <w:tabs>
        <w:tab w:val="center" w:pos="4680"/>
        <w:tab w:val="right" w:pos="9360"/>
      </w:tabs>
    </w:pPr>
  </w:style>
  <w:style w:type="character" w:customStyle="1" w:styleId="FooterChar">
    <w:name w:val="Footer Char"/>
    <w:basedOn w:val="DefaultParagraphFont"/>
    <w:link w:val="Footer"/>
    <w:uiPriority w:val="99"/>
    <w:rsid w:val="0022399D"/>
    <w:rPr>
      <w:rFonts w:ascii="Times New Roman" w:eastAsia="Times New Roman" w:hAnsi="Times New Roman" w:cs="Times New Roman"/>
      <w:sz w:val="24"/>
      <w:szCs w:val="24"/>
      <w:lang w:val="el-GR" w:eastAsia="el-GR"/>
    </w:rPr>
  </w:style>
  <w:style w:type="character" w:customStyle="1" w:styleId="hwtze">
    <w:name w:val="hwtze"/>
    <w:basedOn w:val="DefaultParagraphFont"/>
    <w:rsid w:val="00B30DC8"/>
  </w:style>
  <w:style w:type="character" w:customStyle="1" w:styleId="rynqvb">
    <w:name w:val="rynqvb"/>
    <w:basedOn w:val="DefaultParagraphFont"/>
    <w:rsid w:val="00B30DC8"/>
  </w:style>
  <w:style w:type="paragraph" w:styleId="NormalWeb">
    <w:name w:val="Normal (Web)"/>
    <w:basedOn w:val="Normal"/>
    <w:uiPriority w:val="99"/>
    <w:unhideWhenUsed/>
    <w:rsid w:val="005E74C0"/>
    <w:pPr>
      <w:spacing w:before="100" w:beforeAutospacing="1" w:after="100" w:afterAutospacing="1"/>
    </w:pPr>
    <w:rPr>
      <w:lang w:val="en-US" w:eastAsia="en-US"/>
    </w:rPr>
  </w:style>
  <w:style w:type="paragraph" w:styleId="NoSpacing">
    <w:name w:val="No Spacing"/>
    <w:link w:val="NoSpacingChar"/>
    <w:uiPriority w:val="1"/>
    <w:qFormat/>
    <w:rsid w:val="00656901"/>
    <w:pPr>
      <w:spacing w:after="0" w:line="240" w:lineRule="auto"/>
    </w:pPr>
    <w:rPr>
      <w:rFonts w:eastAsiaTheme="minorEastAsia"/>
    </w:rPr>
  </w:style>
  <w:style w:type="character" w:customStyle="1" w:styleId="NoSpacingChar">
    <w:name w:val="No Spacing Char"/>
    <w:basedOn w:val="DefaultParagraphFont"/>
    <w:link w:val="NoSpacing"/>
    <w:uiPriority w:val="1"/>
    <w:rsid w:val="00656901"/>
    <w:rPr>
      <w:rFonts w:eastAsiaTheme="minorEastAsia"/>
    </w:rPr>
  </w:style>
  <w:style w:type="character" w:styleId="CommentReference">
    <w:name w:val="annotation reference"/>
    <w:basedOn w:val="DefaultParagraphFont"/>
    <w:uiPriority w:val="99"/>
    <w:semiHidden/>
    <w:unhideWhenUsed/>
    <w:rsid w:val="004E4AF3"/>
    <w:rPr>
      <w:sz w:val="16"/>
      <w:szCs w:val="16"/>
    </w:rPr>
  </w:style>
  <w:style w:type="paragraph" w:styleId="CommentText">
    <w:name w:val="annotation text"/>
    <w:basedOn w:val="Normal"/>
    <w:link w:val="CommentTextChar"/>
    <w:uiPriority w:val="99"/>
    <w:unhideWhenUsed/>
    <w:rsid w:val="004E4AF3"/>
    <w:pPr>
      <w:spacing w:after="160"/>
    </w:pPr>
    <w:rPr>
      <w:rFonts w:asciiTheme="minorHAnsi" w:eastAsiaTheme="minorHAnsi" w:hAnsiTheme="minorHAnsi" w:cstheme="minorBidi"/>
      <w:kern w:val="2"/>
      <w:sz w:val="20"/>
      <w:szCs w:val="20"/>
      <w:lang w:val="en-US" w:eastAsia="en-US"/>
      <w14:ligatures w14:val="standardContextual"/>
    </w:rPr>
  </w:style>
  <w:style w:type="character" w:customStyle="1" w:styleId="CommentTextChar">
    <w:name w:val="Comment Text Char"/>
    <w:basedOn w:val="DefaultParagraphFont"/>
    <w:link w:val="CommentText"/>
    <w:uiPriority w:val="99"/>
    <w:rsid w:val="004E4AF3"/>
    <w:rPr>
      <w:kern w:val="2"/>
      <w:sz w:val="20"/>
      <w:szCs w:val="20"/>
      <w14:ligatures w14:val="standardContextual"/>
    </w:rPr>
  </w:style>
  <w:style w:type="paragraph" w:styleId="BalloonText">
    <w:name w:val="Balloon Text"/>
    <w:basedOn w:val="Normal"/>
    <w:link w:val="BalloonTextChar"/>
    <w:uiPriority w:val="99"/>
    <w:semiHidden/>
    <w:unhideWhenUsed/>
    <w:rsid w:val="004E4A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AF3"/>
    <w:rPr>
      <w:rFonts w:ascii="Segoe UI" w:eastAsia="Times New Roman" w:hAnsi="Segoe UI" w:cs="Segoe UI"/>
      <w:sz w:val="18"/>
      <w:szCs w:val="18"/>
      <w:lang w:val="el-GR" w:eastAsia="el-GR"/>
    </w:rPr>
  </w:style>
  <w:style w:type="character" w:customStyle="1" w:styleId="citation-53">
    <w:name w:val="citation-53"/>
    <w:basedOn w:val="DefaultParagraphFont"/>
    <w:rsid w:val="004640EB"/>
  </w:style>
  <w:style w:type="character" w:customStyle="1" w:styleId="citation-52">
    <w:name w:val="citation-52"/>
    <w:basedOn w:val="DefaultParagraphFont"/>
    <w:rsid w:val="004640EB"/>
  </w:style>
  <w:style w:type="character" w:customStyle="1" w:styleId="citation-51">
    <w:name w:val="citation-51"/>
    <w:basedOn w:val="DefaultParagraphFont"/>
    <w:rsid w:val="004640EB"/>
  </w:style>
  <w:style w:type="character" w:customStyle="1" w:styleId="citation-50">
    <w:name w:val="citation-50"/>
    <w:basedOn w:val="DefaultParagraphFont"/>
    <w:rsid w:val="004640EB"/>
  </w:style>
  <w:style w:type="character" w:customStyle="1" w:styleId="citation-49">
    <w:name w:val="citation-49"/>
    <w:basedOn w:val="DefaultParagraphFont"/>
    <w:rsid w:val="004640EB"/>
  </w:style>
  <w:style w:type="character" w:customStyle="1" w:styleId="citation-48">
    <w:name w:val="citation-48"/>
    <w:basedOn w:val="DefaultParagraphFont"/>
    <w:rsid w:val="004640EB"/>
  </w:style>
  <w:style w:type="character" w:customStyle="1" w:styleId="citation-47">
    <w:name w:val="citation-47"/>
    <w:basedOn w:val="DefaultParagraphFont"/>
    <w:rsid w:val="004640EB"/>
  </w:style>
  <w:style w:type="character" w:customStyle="1" w:styleId="citation-46">
    <w:name w:val="citation-46"/>
    <w:basedOn w:val="DefaultParagraphFont"/>
    <w:rsid w:val="004640EB"/>
  </w:style>
  <w:style w:type="character" w:customStyle="1" w:styleId="citation-45">
    <w:name w:val="citation-45"/>
    <w:basedOn w:val="DefaultParagraphFont"/>
    <w:rsid w:val="004640EB"/>
  </w:style>
  <w:style w:type="character" w:customStyle="1" w:styleId="citation-44">
    <w:name w:val="citation-44"/>
    <w:basedOn w:val="DefaultParagraphFont"/>
    <w:rsid w:val="004640EB"/>
  </w:style>
  <w:style w:type="character" w:customStyle="1" w:styleId="citation-43">
    <w:name w:val="citation-43"/>
    <w:basedOn w:val="DefaultParagraphFont"/>
    <w:rsid w:val="004640EB"/>
  </w:style>
  <w:style w:type="character" w:customStyle="1" w:styleId="citation-42">
    <w:name w:val="citation-42"/>
    <w:basedOn w:val="DefaultParagraphFont"/>
    <w:rsid w:val="004640EB"/>
  </w:style>
  <w:style w:type="character" w:customStyle="1" w:styleId="citation-41">
    <w:name w:val="citation-41"/>
    <w:basedOn w:val="DefaultParagraphFont"/>
    <w:rsid w:val="004640EB"/>
  </w:style>
  <w:style w:type="character" w:customStyle="1" w:styleId="citation-40">
    <w:name w:val="citation-40"/>
    <w:basedOn w:val="DefaultParagraphFont"/>
    <w:rsid w:val="004640EB"/>
  </w:style>
  <w:style w:type="character" w:customStyle="1" w:styleId="citation-39">
    <w:name w:val="citation-39"/>
    <w:basedOn w:val="DefaultParagraphFont"/>
    <w:rsid w:val="004640EB"/>
  </w:style>
  <w:style w:type="character" w:customStyle="1" w:styleId="citation-38">
    <w:name w:val="citation-38"/>
    <w:basedOn w:val="DefaultParagraphFont"/>
    <w:rsid w:val="004640EB"/>
  </w:style>
  <w:style w:type="character" w:customStyle="1" w:styleId="citation-37">
    <w:name w:val="citation-37"/>
    <w:basedOn w:val="DefaultParagraphFont"/>
    <w:rsid w:val="004640EB"/>
  </w:style>
  <w:style w:type="character" w:customStyle="1" w:styleId="citation-36">
    <w:name w:val="citation-36"/>
    <w:basedOn w:val="DefaultParagraphFont"/>
    <w:rsid w:val="004640EB"/>
  </w:style>
  <w:style w:type="character" w:styleId="Emphasis">
    <w:name w:val="Emphasis"/>
    <w:basedOn w:val="DefaultParagraphFont"/>
    <w:uiPriority w:val="20"/>
    <w:qFormat/>
    <w:rsid w:val="00CB5A0D"/>
    <w:rPr>
      <w:i/>
      <w:iCs/>
    </w:rPr>
  </w:style>
  <w:style w:type="character" w:customStyle="1" w:styleId="vkekvd">
    <w:name w:val="vkekvd"/>
    <w:basedOn w:val="DefaultParagraphFont"/>
    <w:rsid w:val="00695651"/>
  </w:style>
  <w:style w:type="character" w:customStyle="1" w:styleId="t286pc">
    <w:name w:val="t286pc"/>
    <w:basedOn w:val="DefaultParagraphFont"/>
    <w:rsid w:val="00695651"/>
  </w:style>
  <w:style w:type="character" w:customStyle="1" w:styleId="ifmvxd">
    <w:name w:val="ifmvxd"/>
    <w:basedOn w:val="DefaultParagraphFont"/>
    <w:rsid w:val="00EC4D3D"/>
  </w:style>
  <w:style w:type="character" w:customStyle="1" w:styleId="ijm6od">
    <w:name w:val="ijm6od"/>
    <w:basedOn w:val="DefaultParagraphFont"/>
    <w:rsid w:val="00EC4D3D"/>
  </w:style>
  <w:style w:type="paragraph" w:customStyle="1" w:styleId="df3vjf">
    <w:name w:val="df3vjf"/>
    <w:basedOn w:val="Normal"/>
    <w:rsid w:val="00EC4D3D"/>
    <w:pPr>
      <w:spacing w:before="100" w:beforeAutospacing="1" w:after="100" w:afterAutospacing="1"/>
    </w:pPr>
    <w:rPr>
      <w:lang w:val="en-US" w:eastAsia="en-US"/>
    </w:rPr>
  </w:style>
  <w:style w:type="paragraph" w:customStyle="1" w:styleId="css-1akm6h5-paragraph">
    <w:name w:val="css-1akm6h5-paragraph"/>
    <w:basedOn w:val="Normal"/>
    <w:rsid w:val="004E0CD9"/>
    <w:pPr>
      <w:spacing w:before="100" w:beforeAutospacing="1" w:after="100" w:afterAutospacing="1"/>
    </w:pPr>
    <w:rPr>
      <w:lang w:val="en-US" w:eastAsia="en-US"/>
    </w:rPr>
  </w:style>
  <w:style w:type="paragraph" w:styleId="FootnoteText">
    <w:name w:val="footnote text"/>
    <w:basedOn w:val="Normal"/>
    <w:link w:val="FootnoteTextChar"/>
    <w:uiPriority w:val="99"/>
    <w:semiHidden/>
    <w:unhideWhenUsed/>
    <w:rsid w:val="00E87D16"/>
    <w:rPr>
      <w:sz w:val="20"/>
      <w:szCs w:val="20"/>
    </w:rPr>
  </w:style>
  <w:style w:type="character" w:customStyle="1" w:styleId="FootnoteTextChar">
    <w:name w:val="Footnote Text Char"/>
    <w:basedOn w:val="DefaultParagraphFont"/>
    <w:link w:val="FootnoteText"/>
    <w:uiPriority w:val="99"/>
    <w:semiHidden/>
    <w:rsid w:val="00E87D16"/>
    <w:rPr>
      <w:rFonts w:ascii="Times New Roman" w:eastAsia="Times New Roman" w:hAnsi="Times New Roman" w:cs="Times New Roman"/>
      <w:sz w:val="20"/>
      <w:szCs w:val="20"/>
      <w:lang w:val="el-GR" w:eastAsia="el-GR"/>
    </w:rPr>
  </w:style>
  <w:style w:type="character" w:customStyle="1" w:styleId="object">
    <w:name w:val="object"/>
    <w:basedOn w:val="DefaultParagraphFont"/>
    <w:rsid w:val="00F2348D"/>
  </w:style>
  <w:style w:type="character" w:customStyle="1" w:styleId="content-source">
    <w:name w:val="content-source"/>
    <w:basedOn w:val="DefaultParagraphFont"/>
    <w:rsid w:val="00F23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81248">
      <w:bodyDiv w:val="1"/>
      <w:marLeft w:val="0"/>
      <w:marRight w:val="0"/>
      <w:marTop w:val="0"/>
      <w:marBottom w:val="0"/>
      <w:divBdr>
        <w:top w:val="none" w:sz="0" w:space="0" w:color="auto"/>
        <w:left w:val="none" w:sz="0" w:space="0" w:color="auto"/>
        <w:bottom w:val="none" w:sz="0" w:space="0" w:color="auto"/>
        <w:right w:val="none" w:sz="0" w:space="0" w:color="auto"/>
      </w:divBdr>
    </w:div>
    <w:div w:id="102581830">
      <w:bodyDiv w:val="1"/>
      <w:marLeft w:val="0"/>
      <w:marRight w:val="0"/>
      <w:marTop w:val="0"/>
      <w:marBottom w:val="0"/>
      <w:divBdr>
        <w:top w:val="none" w:sz="0" w:space="0" w:color="auto"/>
        <w:left w:val="none" w:sz="0" w:space="0" w:color="auto"/>
        <w:bottom w:val="none" w:sz="0" w:space="0" w:color="auto"/>
        <w:right w:val="none" w:sz="0" w:space="0" w:color="auto"/>
      </w:divBdr>
    </w:div>
    <w:div w:id="135878911">
      <w:bodyDiv w:val="1"/>
      <w:marLeft w:val="0"/>
      <w:marRight w:val="0"/>
      <w:marTop w:val="0"/>
      <w:marBottom w:val="0"/>
      <w:divBdr>
        <w:top w:val="none" w:sz="0" w:space="0" w:color="auto"/>
        <w:left w:val="none" w:sz="0" w:space="0" w:color="auto"/>
        <w:bottom w:val="none" w:sz="0" w:space="0" w:color="auto"/>
        <w:right w:val="none" w:sz="0" w:space="0" w:color="auto"/>
      </w:divBdr>
      <w:divsChild>
        <w:div w:id="107820505">
          <w:marLeft w:val="0"/>
          <w:marRight w:val="0"/>
          <w:marTop w:val="0"/>
          <w:marBottom w:val="0"/>
          <w:divBdr>
            <w:top w:val="none" w:sz="0" w:space="0" w:color="auto"/>
            <w:left w:val="none" w:sz="0" w:space="0" w:color="auto"/>
            <w:bottom w:val="none" w:sz="0" w:space="0" w:color="auto"/>
            <w:right w:val="none" w:sz="0" w:space="0" w:color="auto"/>
          </w:divBdr>
        </w:div>
        <w:div w:id="222444949">
          <w:marLeft w:val="0"/>
          <w:marRight w:val="0"/>
          <w:marTop w:val="0"/>
          <w:marBottom w:val="0"/>
          <w:divBdr>
            <w:top w:val="none" w:sz="0" w:space="0" w:color="auto"/>
            <w:left w:val="none" w:sz="0" w:space="0" w:color="auto"/>
            <w:bottom w:val="none" w:sz="0" w:space="0" w:color="auto"/>
            <w:right w:val="none" w:sz="0" w:space="0" w:color="auto"/>
          </w:divBdr>
        </w:div>
      </w:divsChild>
    </w:div>
    <w:div w:id="136925156">
      <w:bodyDiv w:val="1"/>
      <w:marLeft w:val="0"/>
      <w:marRight w:val="0"/>
      <w:marTop w:val="0"/>
      <w:marBottom w:val="0"/>
      <w:divBdr>
        <w:top w:val="none" w:sz="0" w:space="0" w:color="auto"/>
        <w:left w:val="none" w:sz="0" w:space="0" w:color="auto"/>
        <w:bottom w:val="none" w:sz="0" w:space="0" w:color="auto"/>
        <w:right w:val="none" w:sz="0" w:space="0" w:color="auto"/>
      </w:divBdr>
    </w:div>
    <w:div w:id="141772442">
      <w:bodyDiv w:val="1"/>
      <w:marLeft w:val="0"/>
      <w:marRight w:val="0"/>
      <w:marTop w:val="0"/>
      <w:marBottom w:val="0"/>
      <w:divBdr>
        <w:top w:val="none" w:sz="0" w:space="0" w:color="auto"/>
        <w:left w:val="none" w:sz="0" w:space="0" w:color="auto"/>
        <w:bottom w:val="none" w:sz="0" w:space="0" w:color="auto"/>
        <w:right w:val="none" w:sz="0" w:space="0" w:color="auto"/>
      </w:divBdr>
    </w:div>
    <w:div w:id="150561548">
      <w:bodyDiv w:val="1"/>
      <w:marLeft w:val="0"/>
      <w:marRight w:val="0"/>
      <w:marTop w:val="0"/>
      <w:marBottom w:val="0"/>
      <w:divBdr>
        <w:top w:val="none" w:sz="0" w:space="0" w:color="auto"/>
        <w:left w:val="none" w:sz="0" w:space="0" w:color="auto"/>
        <w:bottom w:val="none" w:sz="0" w:space="0" w:color="auto"/>
        <w:right w:val="none" w:sz="0" w:space="0" w:color="auto"/>
      </w:divBdr>
      <w:divsChild>
        <w:div w:id="1647123582">
          <w:marLeft w:val="0"/>
          <w:marRight w:val="0"/>
          <w:marTop w:val="0"/>
          <w:marBottom w:val="0"/>
          <w:divBdr>
            <w:top w:val="none" w:sz="0" w:space="0" w:color="auto"/>
            <w:left w:val="none" w:sz="0" w:space="0" w:color="auto"/>
            <w:bottom w:val="none" w:sz="0" w:space="0" w:color="auto"/>
            <w:right w:val="none" w:sz="0" w:space="0" w:color="auto"/>
          </w:divBdr>
        </w:div>
      </w:divsChild>
    </w:div>
    <w:div w:id="275212523">
      <w:bodyDiv w:val="1"/>
      <w:marLeft w:val="0"/>
      <w:marRight w:val="0"/>
      <w:marTop w:val="0"/>
      <w:marBottom w:val="0"/>
      <w:divBdr>
        <w:top w:val="none" w:sz="0" w:space="0" w:color="auto"/>
        <w:left w:val="none" w:sz="0" w:space="0" w:color="auto"/>
        <w:bottom w:val="none" w:sz="0" w:space="0" w:color="auto"/>
        <w:right w:val="none" w:sz="0" w:space="0" w:color="auto"/>
      </w:divBdr>
    </w:div>
    <w:div w:id="428084460">
      <w:bodyDiv w:val="1"/>
      <w:marLeft w:val="0"/>
      <w:marRight w:val="0"/>
      <w:marTop w:val="0"/>
      <w:marBottom w:val="0"/>
      <w:divBdr>
        <w:top w:val="none" w:sz="0" w:space="0" w:color="auto"/>
        <w:left w:val="none" w:sz="0" w:space="0" w:color="auto"/>
        <w:bottom w:val="none" w:sz="0" w:space="0" w:color="auto"/>
        <w:right w:val="none" w:sz="0" w:space="0" w:color="auto"/>
      </w:divBdr>
    </w:div>
    <w:div w:id="461577292">
      <w:bodyDiv w:val="1"/>
      <w:marLeft w:val="0"/>
      <w:marRight w:val="0"/>
      <w:marTop w:val="0"/>
      <w:marBottom w:val="0"/>
      <w:divBdr>
        <w:top w:val="none" w:sz="0" w:space="0" w:color="auto"/>
        <w:left w:val="none" w:sz="0" w:space="0" w:color="auto"/>
        <w:bottom w:val="none" w:sz="0" w:space="0" w:color="auto"/>
        <w:right w:val="none" w:sz="0" w:space="0" w:color="auto"/>
      </w:divBdr>
    </w:div>
    <w:div w:id="497884106">
      <w:bodyDiv w:val="1"/>
      <w:marLeft w:val="0"/>
      <w:marRight w:val="0"/>
      <w:marTop w:val="0"/>
      <w:marBottom w:val="0"/>
      <w:divBdr>
        <w:top w:val="none" w:sz="0" w:space="0" w:color="auto"/>
        <w:left w:val="none" w:sz="0" w:space="0" w:color="auto"/>
        <w:bottom w:val="none" w:sz="0" w:space="0" w:color="auto"/>
        <w:right w:val="none" w:sz="0" w:space="0" w:color="auto"/>
      </w:divBdr>
    </w:div>
    <w:div w:id="573590816">
      <w:bodyDiv w:val="1"/>
      <w:marLeft w:val="0"/>
      <w:marRight w:val="0"/>
      <w:marTop w:val="0"/>
      <w:marBottom w:val="0"/>
      <w:divBdr>
        <w:top w:val="none" w:sz="0" w:space="0" w:color="auto"/>
        <w:left w:val="none" w:sz="0" w:space="0" w:color="auto"/>
        <w:bottom w:val="none" w:sz="0" w:space="0" w:color="auto"/>
        <w:right w:val="none" w:sz="0" w:space="0" w:color="auto"/>
      </w:divBdr>
    </w:div>
    <w:div w:id="614287640">
      <w:bodyDiv w:val="1"/>
      <w:marLeft w:val="0"/>
      <w:marRight w:val="0"/>
      <w:marTop w:val="0"/>
      <w:marBottom w:val="0"/>
      <w:divBdr>
        <w:top w:val="none" w:sz="0" w:space="0" w:color="auto"/>
        <w:left w:val="none" w:sz="0" w:space="0" w:color="auto"/>
        <w:bottom w:val="none" w:sz="0" w:space="0" w:color="auto"/>
        <w:right w:val="none" w:sz="0" w:space="0" w:color="auto"/>
      </w:divBdr>
    </w:div>
    <w:div w:id="657811198">
      <w:bodyDiv w:val="1"/>
      <w:marLeft w:val="0"/>
      <w:marRight w:val="0"/>
      <w:marTop w:val="0"/>
      <w:marBottom w:val="0"/>
      <w:divBdr>
        <w:top w:val="none" w:sz="0" w:space="0" w:color="auto"/>
        <w:left w:val="none" w:sz="0" w:space="0" w:color="auto"/>
        <w:bottom w:val="none" w:sz="0" w:space="0" w:color="auto"/>
        <w:right w:val="none" w:sz="0" w:space="0" w:color="auto"/>
      </w:divBdr>
    </w:div>
    <w:div w:id="796294929">
      <w:bodyDiv w:val="1"/>
      <w:marLeft w:val="0"/>
      <w:marRight w:val="0"/>
      <w:marTop w:val="0"/>
      <w:marBottom w:val="0"/>
      <w:divBdr>
        <w:top w:val="none" w:sz="0" w:space="0" w:color="auto"/>
        <w:left w:val="none" w:sz="0" w:space="0" w:color="auto"/>
        <w:bottom w:val="none" w:sz="0" w:space="0" w:color="auto"/>
        <w:right w:val="none" w:sz="0" w:space="0" w:color="auto"/>
      </w:divBdr>
    </w:div>
    <w:div w:id="904995215">
      <w:bodyDiv w:val="1"/>
      <w:marLeft w:val="0"/>
      <w:marRight w:val="0"/>
      <w:marTop w:val="0"/>
      <w:marBottom w:val="0"/>
      <w:divBdr>
        <w:top w:val="none" w:sz="0" w:space="0" w:color="auto"/>
        <w:left w:val="none" w:sz="0" w:space="0" w:color="auto"/>
        <w:bottom w:val="none" w:sz="0" w:space="0" w:color="auto"/>
        <w:right w:val="none" w:sz="0" w:space="0" w:color="auto"/>
      </w:divBdr>
      <w:divsChild>
        <w:div w:id="2081172157">
          <w:marLeft w:val="0"/>
          <w:marRight w:val="0"/>
          <w:marTop w:val="0"/>
          <w:marBottom w:val="180"/>
          <w:divBdr>
            <w:top w:val="none" w:sz="0" w:space="0" w:color="auto"/>
            <w:left w:val="none" w:sz="0" w:space="0" w:color="auto"/>
            <w:bottom w:val="none" w:sz="0" w:space="0" w:color="auto"/>
            <w:right w:val="none" w:sz="0" w:space="0" w:color="auto"/>
          </w:divBdr>
        </w:div>
        <w:div w:id="1014845231">
          <w:marLeft w:val="0"/>
          <w:marRight w:val="0"/>
          <w:marTop w:val="0"/>
          <w:marBottom w:val="180"/>
          <w:divBdr>
            <w:top w:val="none" w:sz="0" w:space="0" w:color="auto"/>
            <w:left w:val="none" w:sz="0" w:space="0" w:color="auto"/>
            <w:bottom w:val="none" w:sz="0" w:space="0" w:color="auto"/>
            <w:right w:val="none" w:sz="0" w:space="0" w:color="auto"/>
          </w:divBdr>
        </w:div>
        <w:div w:id="1411586281">
          <w:marLeft w:val="0"/>
          <w:marRight w:val="0"/>
          <w:marTop w:val="0"/>
          <w:marBottom w:val="180"/>
          <w:divBdr>
            <w:top w:val="none" w:sz="0" w:space="0" w:color="auto"/>
            <w:left w:val="none" w:sz="0" w:space="0" w:color="auto"/>
            <w:bottom w:val="none" w:sz="0" w:space="0" w:color="auto"/>
            <w:right w:val="none" w:sz="0" w:space="0" w:color="auto"/>
          </w:divBdr>
        </w:div>
      </w:divsChild>
    </w:div>
    <w:div w:id="937328212">
      <w:bodyDiv w:val="1"/>
      <w:marLeft w:val="0"/>
      <w:marRight w:val="0"/>
      <w:marTop w:val="0"/>
      <w:marBottom w:val="0"/>
      <w:divBdr>
        <w:top w:val="none" w:sz="0" w:space="0" w:color="auto"/>
        <w:left w:val="none" w:sz="0" w:space="0" w:color="auto"/>
        <w:bottom w:val="none" w:sz="0" w:space="0" w:color="auto"/>
        <w:right w:val="none" w:sz="0" w:space="0" w:color="auto"/>
      </w:divBdr>
    </w:div>
    <w:div w:id="1307006390">
      <w:bodyDiv w:val="1"/>
      <w:marLeft w:val="0"/>
      <w:marRight w:val="0"/>
      <w:marTop w:val="0"/>
      <w:marBottom w:val="0"/>
      <w:divBdr>
        <w:top w:val="none" w:sz="0" w:space="0" w:color="auto"/>
        <w:left w:val="none" w:sz="0" w:space="0" w:color="auto"/>
        <w:bottom w:val="none" w:sz="0" w:space="0" w:color="auto"/>
        <w:right w:val="none" w:sz="0" w:space="0" w:color="auto"/>
      </w:divBdr>
      <w:divsChild>
        <w:div w:id="1218781706">
          <w:marLeft w:val="0"/>
          <w:marRight w:val="0"/>
          <w:marTop w:val="0"/>
          <w:marBottom w:val="0"/>
          <w:divBdr>
            <w:top w:val="none" w:sz="0" w:space="0" w:color="auto"/>
            <w:left w:val="none" w:sz="0" w:space="0" w:color="auto"/>
            <w:bottom w:val="none" w:sz="0" w:space="0" w:color="auto"/>
            <w:right w:val="none" w:sz="0" w:space="0" w:color="auto"/>
          </w:divBdr>
          <w:divsChild>
            <w:div w:id="1346326812">
              <w:marLeft w:val="0"/>
              <w:marRight w:val="0"/>
              <w:marTop w:val="0"/>
              <w:marBottom w:val="0"/>
              <w:divBdr>
                <w:top w:val="none" w:sz="0" w:space="0" w:color="auto"/>
                <w:left w:val="none" w:sz="0" w:space="0" w:color="auto"/>
                <w:bottom w:val="none" w:sz="0" w:space="0" w:color="auto"/>
                <w:right w:val="none" w:sz="0" w:space="0" w:color="auto"/>
              </w:divBdr>
            </w:div>
          </w:divsChild>
        </w:div>
        <w:div w:id="1601331865">
          <w:marLeft w:val="0"/>
          <w:marRight w:val="0"/>
          <w:marTop w:val="0"/>
          <w:marBottom w:val="0"/>
          <w:divBdr>
            <w:top w:val="none" w:sz="0" w:space="0" w:color="auto"/>
            <w:left w:val="none" w:sz="0" w:space="0" w:color="auto"/>
            <w:bottom w:val="none" w:sz="0" w:space="0" w:color="auto"/>
            <w:right w:val="none" w:sz="0" w:space="0" w:color="auto"/>
          </w:divBdr>
        </w:div>
        <w:div w:id="284435015">
          <w:marLeft w:val="0"/>
          <w:marRight w:val="0"/>
          <w:marTop w:val="0"/>
          <w:marBottom w:val="0"/>
          <w:divBdr>
            <w:top w:val="none" w:sz="0" w:space="0" w:color="auto"/>
            <w:left w:val="none" w:sz="0" w:space="0" w:color="auto"/>
            <w:bottom w:val="none" w:sz="0" w:space="0" w:color="auto"/>
            <w:right w:val="none" w:sz="0" w:space="0" w:color="auto"/>
          </w:divBdr>
        </w:div>
        <w:div w:id="463423150">
          <w:marLeft w:val="0"/>
          <w:marRight w:val="0"/>
          <w:marTop w:val="0"/>
          <w:marBottom w:val="0"/>
          <w:divBdr>
            <w:top w:val="none" w:sz="0" w:space="0" w:color="auto"/>
            <w:left w:val="none" w:sz="0" w:space="0" w:color="auto"/>
            <w:bottom w:val="none" w:sz="0" w:space="0" w:color="auto"/>
            <w:right w:val="none" w:sz="0" w:space="0" w:color="auto"/>
          </w:divBdr>
        </w:div>
      </w:divsChild>
    </w:div>
    <w:div w:id="1415584592">
      <w:bodyDiv w:val="1"/>
      <w:marLeft w:val="0"/>
      <w:marRight w:val="0"/>
      <w:marTop w:val="0"/>
      <w:marBottom w:val="0"/>
      <w:divBdr>
        <w:top w:val="none" w:sz="0" w:space="0" w:color="auto"/>
        <w:left w:val="none" w:sz="0" w:space="0" w:color="auto"/>
        <w:bottom w:val="none" w:sz="0" w:space="0" w:color="auto"/>
        <w:right w:val="none" w:sz="0" w:space="0" w:color="auto"/>
      </w:divBdr>
    </w:div>
    <w:div w:id="1483503682">
      <w:bodyDiv w:val="1"/>
      <w:marLeft w:val="0"/>
      <w:marRight w:val="0"/>
      <w:marTop w:val="0"/>
      <w:marBottom w:val="0"/>
      <w:divBdr>
        <w:top w:val="none" w:sz="0" w:space="0" w:color="auto"/>
        <w:left w:val="none" w:sz="0" w:space="0" w:color="auto"/>
        <w:bottom w:val="none" w:sz="0" w:space="0" w:color="auto"/>
        <w:right w:val="none" w:sz="0" w:space="0" w:color="auto"/>
      </w:divBdr>
    </w:div>
    <w:div w:id="1518999446">
      <w:bodyDiv w:val="1"/>
      <w:marLeft w:val="0"/>
      <w:marRight w:val="0"/>
      <w:marTop w:val="0"/>
      <w:marBottom w:val="0"/>
      <w:divBdr>
        <w:top w:val="none" w:sz="0" w:space="0" w:color="auto"/>
        <w:left w:val="none" w:sz="0" w:space="0" w:color="auto"/>
        <w:bottom w:val="none" w:sz="0" w:space="0" w:color="auto"/>
        <w:right w:val="none" w:sz="0" w:space="0" w:color="auto"/>
      </w:divBdr>
    </w:div>
    <w:div w:id="1563711897">
      <w:bodyDiv w:val="1"/>
      <w:marLeft w:val="0"/>
      <w:marRight w:val="0"/>
      <w:marTop w:val="0"/>
      <w:marBottom w:val="0"/>
      <w:divBdr>
        <w:top w:val="none" w:sz="0" w:space="0" w:color="auto"/>
        <w:left w:val="none" w:sz="0" w:space="0" w:color="auto"/>
        <w:bottom w:val="none" w:sz="0" w:space="0" w:color="auto"/>
        <w:right w:val="none" w:sz="0" w:space="0" w:color="auto"/>
      </w:divBdr>
    </w:div>
    <w:div w:id="1700357861">
      <w:bodyDiv w:val="1"/>
      <w:marLeft w:val="0"/>
      <w:marRight w:val="0"/>
      <w:marTop w:val="0"/>
      <w:marBottom w:val="0"/>
      <w:divBdr>
        <w:top w:val="none" w:sz="0" w:space="0" w:color="auto"/>
        <w:left w:val="none" w:sz="0" w:space="0" w:color="auto"/>
        <w:bottom w:val="none" w:sz="0" w:space="0" w:color="auto"/>
        <w:right w:val="none" w:sz="0" w:space="0" w:color="auto"/>
      </w:divBdr>
      <w:divsChild>
        <w:div w:id="712119627">
          <w:marLeft w:val="0"/>
          <w:marRight w:val="0"/>
          <w:marTop w:val="0"/>
          <w:marBottom w:val="0"/>
          <w:divBdr>
            <w:top w:val="none" w:sz="0" w:space="0" w:color="auto"/>
            <w:left w:val="none" w:sz="0" w:space="0" w:color="auto"/>
            <w:bottom w:val="none" w:sz="0" w:space="0" w:color="auto"/>
            <w:right w:val="none" w:sz="0" w:space="0" w:color="auto"/>
          </w:divBdr>
        </w:div>
      </w:divsChild>
    </w:div>
    <w:div w:id="1809862474">
      <w:bodyDiv w:val="1"/>
      <w:marLeft w:val="0"/>
      <w:marRight w:val="0"/>
      <w:marTop w:val="0"/>
      <w:marBottom w:val="0"/>
      <w:divBdr>
        <w:top w:val="none" w:sz="0" w:space="0" w:color="auto"/>
        <w:left w:val="none" w:sz="0" w:space="0" w:color="auto"/>
        <w:bottom w:val="none" w:sz="0" w:space="0" w:color="auto"/>
        <w:right w:val="none" w:sz="0" w:space="0" w:color="auto"/>
      </w:divBdr>
    </w:div>
    <w:div w:id="1825194970">
      <w:bodyDiv w:val="1"/>
      <w:marLeft w:val="0"/>
      <w:marRight w:val="0"/>
      <w:marTop w:val="0"/>
      <w:marBottom w:val="0"/>
      <w:divBdr>
        <w:top w:val="none" w:sz="0" w:space="0" w:color="auto"/>
        <w:left w:val="none" w:sz="0" w:space="0" w:color="auto"/>
        <w:bottom w:val="none" w:sz="0" w:space="0" w:color="auto"/>
        <w:right w:val="none" w:sz="0" w:space="0" w:color="auto"/>
      </w:divBdr>
      <w:divsChild>
        <w:div w:id="582446294">
          <w:marLeft w:val="0"/>
          <w:marRight w:val="0"/>
          <w:marTop w:val="0"/>
          <w:marBottom w:val="0"/>
          <w:divBdr>
            <w:top w:val="none" w:sz="0" w:space="0" w:color="auto"/>
            <w:left w:val="none" w:sz="0" w:space="0" w:color="auto"/>
            <w:bottom w:val="none" w:sz="0" w:space="0" w:color="auto"/>
            <w:right w:val="none" w:sz="0" w:space="0" w:color="auto"/>
          </w:divBdr>
        </w:div>
      </w:divsChild>
    </w:div>
    <w:div w:id="1947540183">
      <w:bodyDiv w:val="1"/>
      <w:marLeft w:val="0"/>
      <w:marRight w:val="0"/>
      <w:marTop w:val="0"/>
      <w:marBottom w:val="0"/>
      <w:divBdr>
        <w:top w:val="none" w:sz="0" w:space="0" w:color="auto"/>
        <w:left w:val="none" w:sz="0" w:space="0" w:color="auto"/>
        <w:bottom w:val="none" w:sz="0" w:space="0" w:color="auto"/>
        <w:right w:val="none" w:sz="0" w:space="0" w:color="auto"/>
      </w:divBdr>
    </w:div>
    <w:div w:id="2088456494">
      <w:bodyDiv w:val="1"/>
      <w:marLeft w:val="0"/>
      <w:marRight w:val="0"/>
      <w:marTop w:val="0"/>
      <w:marBottom w:val="0"/>
      <w:divBdr>
        <w:top w:val="none" w:sz="0" w:space="0" w:color="auto"/>
        <w:left w:val="none" w:sz="0" w:space="0" w:color="auto"/>
        <w:bottom w:val="none" w:sz="0" w:space="0" w:color="auto"/>
        <w:right w:val="none" w:sz="0" w:space="0" w:color="auto"/>
      </w:divBdr>
    </w:div>
    <w:div w:id="2127190670">
      <w:bodyDiv w:val="1"/>
      <w:marLeft w:val="0"/>
      <w:marRight w:val="0"/>
      <w:marTop w:val="0"/>
      <w:marBottom w:val="0"/>
      <w:divBdr>
        <w:top w:val="none" w:sz="0" w:space="0" w:color="auto"/>
        <w:left w:val="none" w:sz="0" w:space="0" w:color="auto"/>
        <w:bottom w:val="none" w:sz="0" w:space="0" w:color="auto"/>
        <w:right w:val="none" w:sz="0" w:space="0" w:color="auto"/>
      </w:divBdr>
    </w:div>
    <w:div w:id="213694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itehouse.gov/presidential-actions/2026/04/adjusting-imports-of-pharmaceuticals-and-pharmaceutical-ingredients-into-the-united-states/" TargetMode="External"/><Relationship Id="rId5" Type="http://schemas.openxmlformats.org/officeDocument/2006/relationships/webSettings" Target="webSettings.xml"/><Relationship Id="rId10" Type="http://schemas.openxmlformats.org/officeDocument/2006/relationships/hyperlink" Target="https://www.whitehouse.gov/wp-content/uploads/2026/04/Pharmaceuticals-Imports-ANNEXES-I-II-III-IV.pdf" TargetMode="External"/><Relationship Id="rId4" Type="http://schemas.openxmlformats.org/officeDocument/2006/relationships/settings" Target="settings.xml"/><Relationship Id="rId9" Type="http://schemas.openxmlformats.org/officeDocument/2006/relationships/hyperlink" Target="https://www.whitehouse.gov/presidential-actions/2026/04/adjusting-imports-of-pharmaceuticals-and-pharmaceutical-ingredients-into-the-united-st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B21D9-F9ED-406C-8278-D783FE417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1395</Words>
  <Characters>7957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Intern3</dc:creator>
  <cp:keywords/>
  <dc:description/>
  <cp:lastModifiedBy>Dionysios Protopapas</cp:lastModifiedBy>
  <cp:revision>18</cp:revision>
  <cp:lastPrinted>2025-09-18T22:55:00Z</cp:lastPrinted>
  <dcterms:created xsi:type="dcterms:W3CDTF">2026-03-05T15:43:00Z</dcterms:created>
  <dcterms:modified xsi:type="dcterms:W3CDTF">2026-04-06T19:35:00Z</dcterms:modified>
</cp:coreProperties>
</file>